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tbl>
      <w:tblPr>
        <w:tblStyle w:val="8"/>
        <w:tblpPr w:leftFromText="180" w:rightFromText="180" w:vertAnchor="page" w:horzAnchor="page" w:tblpX="1491" w:tblpY="1902"/>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84"/>
        <w:gridCol w:w="1281"/>
        <w:gridCol w:w="1735"/>
        <w:gridCol w:w="284"/>
        <w:gridCol w:w="2284"/>
        <w:gridCol w:w="796"/>
        <w:gridCol w:w="14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57" w:type="dxa"/>
            <w:tcBorders>
              <w:top w:val="nil"/>
              <w:left w:val="nil"/>
              <w:bottom w:val="nil"/>
              <w:right w:val="nil"/>
            </w:tcBorders>
            <w:vAlign w:val="bottom"/>
          </w:tcPr>
          <w:p>
            <w:pPr>
              <w:pStyle w:val="25"/>
              <w:keepNext w:val="0"/>
              <w:keepLines w:val="0"/>
              <w:suppressLineNumbers w:val="0"/>
              <w:spacing w:before="0" w:beforeAutospacing="0" w:afterAutospacing="0"/>
              <w:ind w:left="0" w:right="0"/>
              <w:rPr>
                <w:rFonts w:hint="eastAsia" w:ascii="黑体" w:hAnsi="黑体" w:eastAsia="黑体" w:cs="黑体"/>
                <w:color w:val="auto"/>
              </w:rPr>
            </w:pPr>
            <w:r>
              <w:rPr>
                <w:rFonts w:hint="eastAsia" w:ascii="黑体" w:hAnsi="黑体" w:eastAsia="黑体" w:cs="黑体"/>
                <w:b w:val="0"/>
                <w:bCs w:val="0"/>
                <w:color w:val="auto"/>
                <w:sz w:val="30"/>
                <w:lang w:val="en-US" w:eastAsia="zh-CN"/>
              </w:rPr>
              <w:t>编号</w:t>
            </w:r>
          </w:p>
        </w:tc>
        <w:tc>
          <w:tcPr>
            <w:tcW w:w="1365" w:type="dxa"/>
            <w:gridSpan w:val="2"/>
            <w:tcBorders>
              <w:top w:val="nil"/>
              <w:left w:val="nil"/>
              <w:bottom w:val="dashSmallGap" w:color="auto" w:sz="4" w:space="0"/>
              <w:right w:val="nil"/>
            </w:tcBorders>
            <w:vAlign w:val="bottom"/>
          </w:tcPr>
          <w:p>
            <w:pPr>
              <w:pStyle w:val="25"/>
              <w:keepNext w:val="0"/>
              <w:keepLines w:val="0"/>
              <w:suppressLineNumbers w:val="0"/>
              <w:spacing w:before="0" w:beforeAutospacing="0" w:afterAutospacing="0"/>
              <w:ind w:left="0" w:right="0"/>
              <w:rPr>
                <w:rFonts w:hint="eastAsia" w:ascii="黑体" w:hAnsi="黑体" w:eastAsia="黑体" w:cs="黑体"/>
                <w:b/>
                <w:bCs/>
                <w:color w:val="auto"/>
              </w:rPr>
            </w:pPr>
          </w:p>
        </w:tc>
        <w:tc>
          <w:tcPr>
            <w:tcW w:w="4303" w:type="dxa"/>
            <w:gridSpan w:val="3"/>
            <w:tcBorders>
              <w:top w:val="nil"/>
              <w:left w:val="nil"/>
              <w:bottom w:val="nil"/>
              <w:right w:val="nil"/>
            </w:tcBorders>
            <w:vAlign w:val="bottom"/>
          </w:tcPr>
          <w:p>
            <w:pPr>
              <w:pStyle w:val="25"/>
              <w:keepNext w:val="0"/>
              <w:keepLines w:val="0"/>
              <w:suppressLineNumbers w:val="0"/>
              <w:spacing w:before="0" w:beforeAutospacing="0" w:afterAutospacing="0"/>
              <w:ind w:left="0" w:right="0"/>
              <w:rPr>
                <w:rFonts w:hint="eastAsia" w:ascii="黑体" w:hAnsi="黑体" w:eastAsia="黑体" w:cs="黑体"/>
                <w:color w:val="auto"/>
              </w:rPr>
            </w:pPr>
          </w:p>
        </w:tc>
        <w:tc>
          <w:tcPr>
            <w:tcW w:w="945" w:type="dxa"/>
            <w:gridSpan w:val="2"/>
            <w:tcBorders>
              <w:top w:val="nil"/>
              <w:left w:val="nil"/>
              <w:bottom w:val="nil"/>
              <w:right w:val="nil"/>
            </w:tcBorders>
            <w:vAlign w:val="bottom"/>
          </w:tcPr>
          <w:p>
            <w:pPr>
              <w:pStyle w:val="25"/>
              <w:keepNext w:val="0"/>
              <w:keepLines w:val="0"/>
              <w:suppressLineNumbers w:val="0"/>
              <w:spacing w:before="0" w:beforeAutospacing="0" w:afterAutospacing="0"/>
              <w:ind w:left="0" w:right="0"/>
              <w:rPr>
                <w:rFonts w:hint="eastAsia" w:ascii="黑体" w:hAnsi="黑体" w:eastAsia="黑体" w:cs="黑体"/>
                <w:color w:val="auto"/>
              </w:rPr>
            </w:pPr>
            <w:r>
              <w:rPr>
                <w:rFonts w:hint="eastAsia" w:ascii="黑体" w:hAnsi="黑体" w:eastAsia="黑体" w:cs="黑体"/>
                <w:color w:val="auto"/>
              </w:rPr>
              <w:t>密 级</w:t>
            </w:r>
          </w:p>
        </w:tc>
        <w:tc>
          <w:tcPr>
            <w:tcW w:w="1365" w:type="dxa"/>
            <w:tcBorders>
              <w:top w:val="nil"/>
              <w:left w:val="nil"/>
              <w:bottom w:val="dashSmallGap" w:color="auto" w:sz="4" w:space="0"/>
              <w:right w:val="nil"/>
            </w:tcBorders>
            <w:vAlign w:val="bottom"/>
          </w:tcPr>
          <w:p>
            <w:pPr>
              <w:pStyle w:val="25"/>
              <w:keepNext w:val="0"/>
              <w:keepLines w:val="0"/>
              <w:suppressLineNumbers w:val="0"/>
              <w:spacing w:before="0" w:beforeAutospacing="0" w:afterAutospacing="0"/>
              <w:ind w:left="0" w:right="0"/>
              <w:rPr>
                <w:rFonts w:hint="eastAsia" w:ascii="黑体" w:hAnsi="黑体" w:eastAsia="黑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135" w:type="dxa"/>
            <w:gridSpan w:val="9"/>
            <w:tcBorders>
              <w:top w:val="nil"/>
              <w:left w:val="nil"/>
              <w:bottom w:val="nil"/>
              <w:right w:val="nil"/>
            </w:tcBorders>
          </w:tcPr>
          <w:p>
            <w:pPr>
              <w:pStyle w:val="25"/>
              <w:keepNext w:val="0"/>
              <w:keepLines w:val="0"/>
              <w:suppressLineNumbers w:val="0"/>
              <w:spacing w:before="0" w:beforeAutospacing="0" w:afterAutospacing="0"/>
              <w:ind w:left="0" w:right="0"/>
              <w:rPr>
                <w:rFonts w:hint="eastAsia" w:ascii="黑体" w:hAnsi="黑体" w:eastAsia="黑体" w:cs="黑体"/>
                <w:color w:val="auto"/>
                <w:sz w:val="44"/>
              </w:rPr>
            </w:pPr>
          </w:p>
          <w:p>
            <w:pPr>
              <w:pStyle w:val="25"/>
              <w:keepNext w:val="0"/>
              <w:keepLines w:val="0"/>
              <w:suppressLineNumbers w:val="0"/>
              <w:spacing w:before="0" w:beforeAutospacing="0" w:afterAutospacing="0"/>
              <w:ind w:left="0" w:right="0"/>
              <w:rPr>
                <w:rFonts w:hint="eastAsia" w:ascii="黑体" w:hAnsi="黑体" w:eastAsia="黑体" w:cs="黑体"/>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5" w:type="dxa"/>
            <w:gridSpan w:val="9"/>
            <w:tcBorders>
              <w:top w:val="nil"/>
              <w:left w:val="nil"/>
              <w:bottom w:val="nil"/>
              <w:right w:val="nil"/>
            </w:tcBorders>
          </w:tcPr>
          <w:p>
            <w:pPr>
              <w:pStyle w:val="26"/>
              <w:keepNext w:val="0"/>
              <w:keepLines w:val="0"/>
              <w:suppressLineNumbers w:val="0"/>
              <w:spacing w:beforeAutospacing="0" w:afterAutospacing="0"/>
              <w:ind w:left="0" w:right="0"/>
              <w:rPr>
                <w:rFonts w:hint="eastAsia" w:ascii="黑体" w:hAnsi="黑体" w:eastAsia="黑体" w:cs="黑体"/>
                <w:color w:val="auto"/>
              </w:rPr>
            </w:pPr>
          </w:p>
          <w:p>
            <w:pPr>
              <w:pStyle w:val="26"/>
              <w:keepNext w:val="0"/>
              <w:keepLines w:val="0"/>
              <w:suppressLineNumbers w:val="0"/>
              <w:spacing w:beforeAutospacing="0" w:afterAutospacing="0"/>
              <w:ind w:left="0" w:right="0"/>
              <w:rPr>
                <w:rFonts w:hint="default" w:ascii="黑体" w:hAnsi="黑体" w:eastAsia="黑体" w:cs="黑体"/>
                <w:b/>
                <w:color w:val="auto"/>
                <w:lang w:val="en-US" w:eastAsia="zh-CN"/>
              </w:rPr>
            </w:pPr>
            <w:r>
              <w:rPr>
                <w:rFonts w:hint="eastAsia" w:ascii="黑体" w:hAnsi="黑体" w:eastAsia="黑体" w:cs="黑体"/>
                <w:b/>
                <w:color w:val="auto"/>
                <w:sz w:val="56"/>
                <w:szCs w:val="56"/>
                <w:lang w:val="en-US" w:eastAsia="zh-CN"/>
              </w:rPr>
              <w:t>紫光恒越技术有限公司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9135" w:type="dxa"/>
            <w:gridSpan w:val="9"/>
            <w:tcBorders>
              <w:top w:val="nil"/>
              <w:left w:val="nil"/>
              <w:bottom w:val="nil"/>
              <w:right w:val="nil"/>
            </w:tcBorders>
          </w:tcPr>
          <w:p>
            <w:pPr>
              <w:keepNext w:val="0"/>
              <w:keepLines w:val="0"/>
              <w:widowControl/>
              <w:suppressLineNumbers w:val="0"/>
              <w:adjustRightInd w:val="0"/>
              <w:snapToGrid w:val="0"/>
              <w:spacing w:before="0" w:beforeAutospacing="0" w:afterAutospacing="0"/>
              <w:ind w:left="0" w:right="0"/>
              <w:jc w:val="center"/>
              <w:rPr>
                <w:rFonts w:hint="default" w:ascii="黑体" w:hAnsi="黑体" w:eastAsia="黑体" w:cs="黑体"/>
                <w:color w:val="auto"/>
                <w:sz w:val="44"/>
                <w:lang w:val="en-US" w:eastAsia="zh-CN"/>
              </w:rPr>
            </w:pPr>
            <w:r>
              <w:rPr>
                <w:rFonts w:hint="eastAsia" w:ascii="黑体" w:hAnsi="黑体" w:eastAsia="黑体" w:cs="黑体"/>
                <w:color w:val="auto"/>
                <w:sz w:val="44"/>
                <w:lang w:val="en-US" w:eastAsia="zh-CN"/>
              </w:rPr>
              <w:t>XXXX公司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9135" w:type="dxa"/>
            <w:gridSpan w:val="9"/>
            <w:tcBorders>
              <w:top w:val="nil"/>
              <w:left w:val="nil"/>
              <w:bottom w:val="nil"/>
              <w:right w:val="nil"/>
            </w:tcBorders>
          </w:tcPr>
          <w:p>
            <w:pPr>
              <w:pStyle w:val="27"/>
              <w:keepNext w:val="0"/>
              <w:keepLines w:val="0"/>
              <w:suppressLineNumbers w:val="0"/>
              <w:spacing w:before="0" w:beforeAutospacing="0" w:afterAutospacing="0"/>
              <w:ind w:left="0" w:right="0"/>
              <w:rPr>
                <w:rFonts w:hint="eastAsia" w:ascii="黑体" w:hAnsi="黑体" w:eastAsia="黑体" w:cs="黑体"/>
                <w:color w:val="auto"/>
                <w:lang w:val="en-US"/>
              </w:rPr>
            </w:pPr>
            <w:bookmarkStart w:id="51" w:name="_GoBack"/>
            <w:bookmarkEnd w:id="51"/>
            <w:r>
              <w:rPr>
                <w:rFonts w:hint="eastAsia" w:ascii="黑体" w:hAnsi="黑体" w:eastAsia="黑体" w:cs="黑体"/>
                <w:color w:val="auto"/>
                <w:lang w:val="en-US" w:eastAsia="zh-CN"/>
              </w:rPr>
              <w:t>渠道合作协议</w:t>
            </w:r>
          </w:p>
          <w:p>
            <w:pPr>
              <w:pStyle w:val="27"/>
              <w:keepNext w:val="0"/>
              <w:keepLines w:val="0"/>
              <w:suppressLineNumbers w:val="0"/>
              <w:spacing w:before="0" w:beforeAutospacing="0" w:afterAutospacing="0"/>
              <w:ind w:left="0" w:right="0"/>
              <w:rPr>
                <w:rFonts w:hint="eastAsia" w:ascii="黑体" w:hAnsi="黑体" w:eastAsia="黑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41" w:type="dxa"/>
            <w:gridSpan w:val="2"/>
            <w:vMerge w:val="restart"/>
            <w:tcBorders>
              <w:top w:val="nil"/>
              <w:left w:val="nil"/>
              <w:bottom w:val="nil"/>
              <w:right w:val="nil"/>
            </w:tcBorders>
            <w:vAlign w:val="center"/>
          </w:tcPr>
          <w:p>
            <w:pPr>
              <w:keepNext w:val="0"/>
              <w:keepLines w:val="0"/>
              <w:widowControl/>
              <w:suppressLineNumbers w:val="0"/>
              <w:adjustRightInd w:val="0"/>
              <w:snapToGrid w:val="0"/>
              <w:spacing w:before="0" w:beforeAutospacing="0" w:afterAutospacing="0"/>
              <w:ind w:left="0" w:right="0"/>
              <w:rPr>
                <w:rFonts w:hint="eastAsia" w:ascii="黑体" w:hAnsi="黑体" w:eastAsia="黑体" w:cs="黑体"/>
                <w:color w:val="auto"/>
                <w:sz w:val="52"/>
              </w:rPr>
            </w:pPr>
          </w:p>
        </w:tc>
        <w:tc>
          <w:tcPr>
            <w:tcW w:w="3016"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284" w:type="dxa"/>
            <w:tcBorders>
              <w:top w:val="nil"/>
              <w:left w:val="nil"/>
              <w:bottom w:val="nil"/>
              <w:right w:val="nil"/>
            </w:tcBorders>
            <w:vAlign w:val="center"/>
          </w:tcPr>
          <w:p>
            <w:pPr>
              <w:pStyle w:val="28"/>
              <w:keepNext w:val="0"/>
              <w:keepLines w:val="0"/>
              <w:suppressLineNumbers w:val="0"/>
              <w:spacing w:before="0" w:beforeAutospacing="0" w:afterAutospacing="0"/>
              <w:ind w:left="0" w:right="0" w:firstLine="1960"/>
              <w:rPr>
                <w:rFonts w:hint="eastAsia" w:ascii="黑体" w:hAnsi="黑体" w:eastAsia="黑体" w:cs="黑体"/>
                <w:color w:val="auto"/>
              </w:rPr>
            </w:pPr>
          </w:p>
        </w:tc>
        <w:tc>
          <w:tcPr>
            <w:tcW w:w="3080"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spacing w:val="20"/>
              </w:rPr>
            </w:pPr>
          </w:p>
        </w:tc>
        <w:tc>
          <w:tcPr>
            <w:tcW w:w="1514" w:type="dxa"/>
            <w:gridSpan w:val="2"/>
            <w:vMerge w:val="restart"/>
            <w:tcBorders>
              <w:top w:val="nil"/>
              <w:left w:val="nil"/>
              <w:bottom w:val="nil"/>
              <w:right w:val="nil"/>
            </w:tcBorders>
            <w:vAlign w:val="center"/>
          </w:tcPr>
          <w:p>
            <w:pPr>
              <w:keepNext w:val="0"/>
              <w:keepLines w:val="0"/>
              <w:widowControl/>
              <w:suppressLineNumbers w:val="0"/>
              <w:adjustRightInd w:val="0"/>
              <w:snapToGrid w:val="0"/>
              <w:spacing w:before="0" w:beforeAutospacing="0" w:afterAutospacing="0"/>
              <w:ind w:left="0" w:right="0"/>
              <w:rPr>
                <w:rFonts w:hint="eastAsia" w:ascii="黑体" w:hAnsi="黑体" w:eastAsia="黑体" w:cs="黑体"/>
                <w:color w:val="auto"/>
                <w:sz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41"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left"/>
              <w:rPr>
                <w:rFonts w:hint="eastAsia" w:ascii="黑体" w:hAnsi="黑体" w:eastAsia="黑体" w:cs="黑体"/>
                <w:color w:val="auto"/>
                <w:sz w:val="52"/>
              </w:rPr>
            </w:pPr>
          </w:p>
        </w:tc>
        <w:tc>
          <w:tcPr>
            <w:tcW w:w="3016"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284" w:type="dxa"/>
            <w:tcBorders>
              <w:top w:val="nil"/>
              <w:left w:val="nil"/>
              <w:bottom w:val="nil"/>
              <w:right w:val="nil"/>
            </w:tcBorders>
            <w:vAlign w:val="center"/>
          </w:tcPr>
          <w:p>
            <w:pPr>
              <w:pStyle w:val="28"/>
              <w:keepNext w:val="0"/>
              <w:keepLines w:val="0"/>
              <w:suppressLineNumbers w:val="0"/>
              <w:spacing w:before="0" w:beforeAutospacing="0" w:afterAutospacing="0"/>
              <w:ind w:left="0" w:right="0" w:firstLine="1960"/>
              <w:rPr>
                <w:rFonts w:hint="eastAsia" w:ascii="黑体" w:hAnsi="黑体" w:eastAsia="黑体" w:cs="黑体"/>
                <w:color w:val="auto"/>
              </w:rPr>
            </w:pPr>
          </w:p>
        </w:tc>
        <w:tc>
          <w:tcPr>
            <w:tcW w:w="3080"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1514"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distribute"/>
              <w:rPr>
                <w:rFonts w:hint="eastAsia" w:ascii="黑体" w:hAnsi="黑体" w:eastAsia="黑体" w:cs="黑体"/>
                <w:color w:val="auto"/>
                <w:sz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41"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left"/>
              <w:rPr>
                <w:rFonts w:hint="eastAsia" w:ascii="黑体" w:hAnsi="黑体" w:eastAsia="黑体" w:cs="黑体"/>
                <w:color w:val="auto"/>
                <w:sz w:val="52"/>
              </w:rPr>
            </w:pPr>
          </w:p>
        </w:tc>
        <w:tc>
          <w:tcPr>
            <w:tcW w:w="3016"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284" w:type="dxa"/>
            <w:tcBorders>
              <w:top w:val="nil"/>
              <w:left w:val="nil"/>
              <w:bottom w:val="nil"/>
              <w:right w:val="nil"/>
            </w:tcBorders>
            <w:vAlign w:val="center"/>
          </w:tcPr>
          <w:p>
            <w:pPr>
              <w:pStyle w:val="28"/>
              <w:keepNext w:val="0"/>
              <w:keepLines w:val="0"/>
              <w:suppressLineNumbers w:val="0"/>
              <w:spacing w:before="0" w:beforeAutospacing="0" w:afterAutospacing="0"/>
              <w:ind w:left="0" w:right="0" w:firstLine="1960"/>
              <w:rPr>
                <w:rFonts w:hint="eastAsia" w:ascii="黑体" w:hAnsi="黑体" w:eastAsia="黑体" w:cs="黑体"/>
                <w:color w:val="auto"/>
              </w:rPr>
            </w:pPr>
          </w:p>
        </w:tc>
        <w:tc>
          <w:tcPr>
            <w:tcW w:w="3080"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1514"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distribute"/>
              <w:rPr>
                <w:rFonts w:hint="eastAsia" w:ascii="黑体" w:hAnsi="黑体" w:eastAsia="黑体" w:cs="黑体"/>
                <w:color w:val="auto"/>
                <w:sz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41"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left"/>
              <w:rPr>
                <w:rFonts w:hint="eastAsia" w:ascii="黑体" w:hAnsi="黑体" w:eastAsia="黑体" w:cs="黑体"/>
                <w:color w:val="auto"/>
                <w:sz w:val="52"/>
              </w:rPr>
            </w:pPr>
          </w:p>
        </w:tc>
        <w:tc>
          <w:tcPr>
            <w:tcW w:w="3016"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284" w:type="dxa"/>
            <w:tcBorders>
              <w:top w:val="nil"/>
              <w:left w:val="nil"/>
              <w:bottom w:val="nil"/>
              <w:right w:val="nil"/>
            </w:tcBorders>
            <w:vAlign w:val="center"/>
          </w:tcPr>
          <w:p>
            <w:pPr>
              <w:pStyle w:val="28"/>
              <w:keepNext w:val="0"/>
              <w:keepLines w:val="0"/>
              <w:suppressLineNumbers w:val="0"/>
              <w:spacing w:before="0" w:beforeAutospacing="0" w:afterAutospacing="0"/>
              <w:ind w:left="0" w:right="0" w:firstLine="1960"/>
              <w:rPr>
                <w:rFonts w:hint="eastAsia" w:ascii="黑体" w:hAnsi="黑体" w:eastAsia="黑体" w:cs="黑体"/>
                <w:color w:val="auto"/>
              </w:rPr>
            </w:pPr>
          </w:p>
        </w:tc>
        <w:tc>
          <w:tcPr>
            <w:tcW w:w="3080"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1514"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distribute"/>
              <w:rPr>
                <w:rFonts w:hint="eastAsia" w:ascii="黑体" w:hAnsi="黑体" w:eastAsia="黑体" w:cs="黑体"/>
                <w:color w:val="auto"/>
                <w:sz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41"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left"/>
              <w:rPr>
                <w:rFonts w:hint="eastAsia" w:ascii="黑体" w:hAnsi="黑体" w:eastAsia="黑体" w:cs="黑体"/>
                <w:color w:val="auto"/>
                <w:sz w:val="52"/>
              </w:rPr>
            </w:pPr>
          </w:p>
        </w:tc>
        <w:tc>
          <w:tcPr>
            <w:tcW w:w="3016"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284" w:type="dxa"/>
            <w:tcBorders>
              <w:top w:val="nil"/>
              <w:left w:val="nil"/>
              <w:bottom w:val="nil"/>
              <w:right w:val="nil"/>
            </w:tcBorders>
            <w:vAlign w:val="center"/>
          </w:tcPr>
          <w:p>
            <w:pPr>
              <w:pStyle w:val="28"/>
              <w:keepNext w:val="0"/>
              <w:keepLines w:val="0"/>
              <w:suppressLineNumbers w:val="0"/>
              <w:spacing w:before="0" w:beforeAutospacing="0" w:afterAutospacing="0"/>
              <w:ind w:left="0" w:right="0" w:firstLine="1960"/>
              <w:rPr>
                <w:rFonts w:hint="eastAsia" w:ascii="黑体" w:hAnsi="黑体" w:eastAsia="黑体" w:cs="黑体"/>
                <w:color w:val="auto"/>
              </w:rPr>
            </w:pPr>
          </w:p>
        </w:tc>
        <w:tc>
          <w:tcPr>
            <w:tcW w:w="3080" w:type="dxa"/>
            <w:gridSpan w:val="2"/>
            <w:tcBorders>
              <w:top w:val="nil"/>
              <w:left w:val="nil"/>
              <w:bottom w:val="nil"/>
              <w:right w:val="nil"/>
            </w:tcBorders>
            <w:vAlign w:val="center"/>
          </w:tcPr>
          <w:p>
            <w:pPr>
              <w:pStyle w:val="28"/>
              <w:keepNext w:val="0"/>
              <w:keepLines w:val="0"/>
              <w:suppressLineNumbers w:val="0"/>
              <w:spacing w:before="0" w:beforeAutospacing="0" w:afterAutospacing="0"/>
              <w:ind w:left="0" w:right="0" w:firstLine="0" w:firstLineChars="0"/>
              <w:rPr>
                <w:rFonts w:hint="eastAsia" w:ascii="黑体" w:hAnsi="黑体" w:eastAsia="黑体" w:cs="黑体"/>
                <w:color w:val="auto"/>
              </w:rPr>
            </w:pPr>
          </w:p>
        </w:tc>
        <w:tc>
          <w:tcPr>
            <w:tcW w:w="1514" w:type="dxa"/>
            <w:gridSpan w:val="2"/>
            <w:vMerge w:val="continue"/>
            <w:tcBorders>
              <w:top w:val="nil"/>
              <w:left w:val="nil"/>
              <w:bottom w:val="nil"/>
              <w:right w:val="nil"/>
            </w:tcBorders>
            <w:vAlign w:val="center"/>
          </w:tcPr>
          <w:p>
            <w:pPr>
              <w:keepNext w:val="0"/>
              <w:keepLines w:val="0"/>
              <w:widowControl/>
              <w:suppressLineNumbers w:val="0"/>
              <w:spacing w:before="0" w:beforeAutospacing="0" w:afterAutospacing="0"/>
              <w:ind w:left="0" w:right="0"/>
              <w:jc w:val="distribute"/>
              <w:rPr>
                <w:rFonts w:hint="eastAsia" w:ascii="黑体" w:hAnsi="黑体" w:eastAsia="黑体" w:cs="黑体"/>
                <w:color w:val="auto"/>
                <w:sz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9135" w:type="dxa"/>
            <w:gridSpan w:val="9"/>
            <w:tcBorders>
              <w:top w:val="nil"/>
              <w:left w:val="nil"/>
              <w:bottom w:val="nil"/>
              <w:right w:val="nil"/>
            </w:tcBorders>
          </w:tcPr>
          <w:p>
            <w:pPr>
              <w:pStyle w:val="29"/>
              <w:keepNext w:val="0"/>
              <w:keepLines w:val="0"/>
              <w:suppressLineNumbers w:val="0"/>
              <w:spacing w:before="0" w:beforeAutospacing="0" w:afterAutospacing="0"/>
              <w:ind w:left="0" w:right="0"/>
              <w:jc w:val="both"/>
              <w:rPr>
                <w:rFonts w:hint="eastAsia" w:hAnsi="黑体" w:cs="黑体"/>
                <w:color w:val="auto"/>
              </w:rPr>
            </w:pPr>
          </w:p>
          <w:p>
            <w:pPr>
              <w:pStyle w:val="29"/>
              <w:keepNext w:val="0"/>
              <w:keepLines w:val="0"/>
              <w:suppressLineNumbers w:val="0"/>
              <w:spacing w:before="0" w:beforeAutospacing="0" w:afterAutospacing="0"/>
              <w:ind w:left="0" w:right="0"/>
              <w:rPr>
                <w:rFonts w:hint="eastAsia" w:hAnsi="黑体" w:cs="黑体"/>
                <w:color w:val="auto"/>
              </w:rPr>
            </w:pPr>
            <w:r>
              <w:rPr>
                <w:rFonts w:hint="eastAsia" w:hAnsi="黑体" w:cs="黑体"/>
                <w:color w:val="auto"/>
                <w:lang w:eastAsia="zh-CN"/>
              </w:rPr>
              <w:t>2</w:t>
            </w:r>
            <w:r>
              <w:rPr>
                <w:rFonts w:hint="eastAsia" w:hAnsi="黑体" w:cs="黑体"/>
                <w:color w:val="auto"/>
                <w:lang w:val="en-US" w:eastAsia="zh-CN"/>
              </w:rPr>
              <w:t>020</w:t>
            </w:r>
            <w:r>
              <w:rPr>
                <w:rFonts w:hint="eastAsia" w:hAnsi="黑体" w:cs="黑体"/>
                <w:color w:val="auto"/>
              </w:rPr>
              <w:t xml:space="preserve">年 </w:t>
            </w:r>
            <w:r>
              <w:rPr>
                <w:rFonts w:hint="eastAsia" w:hAnsi="黑体" w:cs="黑体"/>
                <w:color w:val="auto"/>
                <w:lang w:val="en-US" w:eastAsia="zh-CN"/>
              </w:rPr>
              <w:t>1</w:t>
            </w:r>
            <w:r>
              <w:rPr>
                <w:rFonts w:hint="eastAsia" w:hAnsi="黑体" w:cs="黑体"/>
                <w:color w:val="auto"/>
              </w:rPr>
              <w:t>月</w:t>
            </w:r>
          </w:p>
        </w:tc>
      </w:tr>
    </w:tbl>
    <w:p>
      <w:pPr>
        <w:pStyle w:val="6"/>
        <w:sectPr>
          <w:headerReference r:id="rId3" w:type="default"/>
          <w:footerReference r:id="rId4" w:type="default"/>
          <w:pgSz w:w="11906" w:h="16838"/>
          <w:pgMar w:top="1440" w:right="1080" w:bottom="1440" w:left="1080" w:header="851" w:footer="595" w:gutter="0"/>
          <w:pgNumType w:chapStyle="1"/>
          <w:cols w:space="425" w:num="1"/>
          <w:docGrid w:type="lines" w:linePitch="312" w:charSpace="0"/>
        </w:sectPr>
      </w:pPr>
    </w:p>
    <w:p>
      <w:pPr>
        <w:pStyle w:val="6"/>
      </w:pPr>
      <w:r>
        <w:t>渠道合作协议</w:t>
      </w:r>
    </w:p>
    <w:p>
      <w:pPr>
        <w:rPr>
          <w:lang w:eastAsia="zh-CN"/>
        </w:rPr>
      </w:pPr>
    </w:p>
    <w:p>
      <w:pPr>
        <w:rPr>
          <w:lang w:eastAsia="zh-CN"/>
        </w:rPr>
      </w:pPr>
    </w:p>
    <w:p>
      <w:pPr>
        <w:autoSpaceDE w:val="0"/>
        <w:autoSpaceDN w:val="0"/>
        <w:adjustRightInd w:val="0"/>
        <w:snapToGrid w:val="0"/>
        <w:spacing w:line="360" w:lineRule="auto"/>
        <w:rPr>
          <w:rFonts w:ascii="宋体" w:hAnsi="宋体"/>
          <w:b/>
          <w:sz w:val="24"/>
          <w:lang w:eastAsia="zh-CN"/>
        </w:rPr>
      </w:pPr>
      <w:r>
        <w:rPr>
          <w:rFonts w:hint="eastAsia" w:ascii="宋体" w:hAnsi="宋体"/>
          <w:szCs w:val="21"/>
          <w:lang w:eastAsia="zh-CN"/>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8471535</wp:posOffset>
                </wp:positionV>
                <wp:extent cx="352425" cy="266700"/>
                <wp:effectExtent l="0" t="0" r="444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1.25pt;margin-top:667.05pt;height:21pt;width:27.75pt;z-index:251659264;mso-width-relative:page;mso-height-relative:page;" fillcolor="#FFFFFF" filled="t" stroked="f" coordsize="21600,21600" o:gfxdata="UEsDBAoAAAAAAIdO4kAAAAAAAAAAAAAAAAAEAAAAZHJzL1BLAwQUAAAACACHTuJANi/thdoAAAAN&#10;AQAADwAAAGRycy9kb3ducmV2LnhtbE2PzW7CMBCE75X6DtZW6qUqdoD8kMZBaqVWvUJ5gE2yJBGx&#10;HcWGwNt3ObXHnfk0O1Nsr2YQF5p876yGaKFAkK1d09tWw+Hn8zUD4QPaBgdnScONPGzLx4cC88bN&#10;dkeXfWgFh1ifo4YuhDGX0tcdGfQLN5Jl7+gmg4HPqZXNhDOHm0EulUqkwd7yhw5H+uioPu3PRsPx&#10;e36JN3P1FQ7pbp28Y59W7qb181Ok3kAEuoY/GO71uTqU3KlyZ9t4MWjI1DJmlI3Vah2BYCSLM55X&#10;3aU0iUCWhfy/ovwFUEsDBBQAAAAIAIdO4kATthdTEAIAAO8DAAAOAAAAZHJzL2Uyb0RvYy54bWyt&#10;U82O0zAQviPxDpbvNG36sxA1XS1dFSEtP9LCAziO01gkHjN2m5QHgDfgxIU7z9XnYOx0S7XcED5Y&#10;Hs/M5/m+GS+v+7Zhe4VOg8n5ZDTmTBkJpTbbnH/8sHn2nDPnhSlFA0bl/KAcv149fbLsbKZSqKEp&#10;FTICMS7rbM5r722WJE7WqhVuBFYZclaArfBk4jYpUXSE3jZJOh4vkg6wtAhSOUe3t4OTryJ+VSnp&#10;31WVU541OafafNwx7kXYk9VSZFsUttbyVIb4hypaoQ09eoa6FV6wHeq/oFotERxUfiShTaCqtFSR&#10;A7GZjB+xua+FVZELiePsWSb3/2Dl2/17ZLrM+ZQzI1pq0fH7t+OPX8efX9k0yNNZl1HUvaU437+E&#10;ntocqTp7B/KTYwbWtTBbdYMIXa1ESeVNQmZykTrguABSdG+gpHfEzkME6itsg3akBiN0atPh3BrV&#10;eybpcjpPZ+mcM0mudLG4GsfWJSJ7SLbo/CsFLQuHnCN1PoKL/Z3zoRiRPYSEtxw0utzopokGbot1&#10;g2wvaEo2ccX6H4U1JgQbCGkDYriJLAOxgaLvi/6kWgHlgfgiDFNHv4QONeAXzjqauJy7zzuBirPm&#10;tSHNXkxmszCi0ZjNr1Iy8NJTXHqEkQSVc8/ZcFz7Yax3FvW2ppeGLhm4IZ0rHTUIDRmqOtVNUxWl&#10;Of2AMLaXdoz6809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2L+2F2gAAAA0BAAAPAAAAAAAA&#10;AAEAIAAAACIAAABkcnMvZG93bnJldi54bWxQSwECFAAUAAAACACHTuJAE7YXUxACAADvAwAADgAA&#10;AAAAAAABACAAAAApAQAAZHJzL2Uyb0RvYy54bWxQSwUGAAAAAAYABgBZAQAAqwUAAAAA&#10;">
                <v:fill on="t" focussize="0,0"/>
                <v:stroke on="f"/>
                <v:imagedata o:title=""/>
                <o:lock v:ext="edit" aspectratio="f"/>
                <v:textbox>
                  <w:txbxContent>
                    <w:p/>
                  </w:txbxContent>
                </v:textbox>
              </v:shape>
            </w:pict>
          </mc:Fallback>
        </mc:AlternateContent>
      </w:r>
      <w:r>
        <w:rPr>
          <w:rFonts w:hint="eastAsia" w:ascii="宋体" w:hAnsi="宋体"/>
          <w:b/>
          <w:sz w:val="24"/>
          <w:lang w:eastAsia="zh-CN"/>
        </w:rPr>
        <w:t>甲方：紫光恒越技术有限公司</w:t>
      </w:r>
      <w:r>
        <w:rPr>
          <w:rFonts w:ascii="宋体" w:hAnsi="宋体"/>
          <w:b/>
          <w:sz w:val="24"/>
          <w:lang w:eastAsia="zh-CN"/>
        </w:rPr>
        <w:t xml:space="preserve"> </w:t>
      </w:r>
    </w:p>
    <w:p>
      <w:pPr>
        <w:autoSpaceDE w:val="0"/>
        <w:autoSpaceDN w:val="0"/>
        <w:adjustRightInd w:val="0"/>
        <w:snapToGrid w:val="0"/>
        <w:spacing w:line="360" w:lineRule="auto"/>
        <w:rPr>
          <w:rFonts w:ascii="宋体" w:hAnsi="宋体"/>
          <w:b/>
          <w:sz w:val="24"/>
          <w:lang w:eastAsia="zh-CN"/>
        </w:rPr>
      </w:pPr>
      <w:r>
        <w:rPr>
          <w:rFonts w:hint="eastAsia" w:ascii="宋体" w:hAnsi="宋体"/>
          <w:b/>
          <w:sz w:val="24"/>
          <w:lang w:eastAsia="zh-CN"/>
        </w:rPr>
        <w:t>乙方：</w:t>
      </w:r>
      <w:r>
        <w:rPr>
          <w:rFonts w:ascii="宋体" w:hAnsi="宋体"/>
          <w:b/>
          <w:sz w:val="24"/>
          <w:lang w:eastAsia="zh-CN"/>
        </w:rPr>
        <w:t xml:space="preserve"> </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为开拓网络设备市场，推动各自事业的繁荣和发展，甲、乙双方本着合作共赢的原则，经友好协商共同签署如下合作协议。</w:t>
      </w:r>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本协议由主协议及其附件构成，附件为本协议不可或缺的组成部分。</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outlineLvl w:val="0"/>
        <w:rPr>
          <w:rFonts w:ascii="宋体" w:hAnsi="宋体"/>
          <w:b/>
          <w:szCs w:val="21"/>
        </w:rPr>
      </w:pPr>
      <w:bookmarkStart w:id="0" w:name="_Toc441666457"/>
      <w:r>
        <w:rPr>
          <w:rFonts w:hint="eastAsia" w:ascii="宋体" w:hAnsi="宋体"/>
          <w:b/>
          <w:szCs w:val="21"/>
        </w:rPr>
        <w:t>一. 授权及合作关系</w:t>
      </w:r>
      <w:bookmarkEnd w:id="0"/>
    </w:p>
    <w:p>
      <w:pPr>
        <w:widowControl w:val="0"/>
        <w:numPr>
          <w:ilvl w:val="0"/>
          <w:numId w:val="1"/>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在本协议有效期内甲方授权乙方，且乙方接受这种授权，作为甲方非排他性的销售合作伙伴在授权销售区域内销售行业类产品。</w:t>
      </w:r>
    </w:p>
    <w:p>
      <w:pPr>
        <w:widowControl w:val="0"/>
        <w:numPr>
          <w:ilvl w:val="0"/>
          <w:numId w:val="1"/>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此合作关系是非排他性的，甲方有权授权销售区域内的签约合作伙伴、交易商、综合商、再销售者、代表和代理人和/或在销售区域内进行促销和直接销售。</w:t>
      </w:r>
    </w:p>
    <w:p>
      <w:pPr>
        <w:widowControl w:val="0"/>
        <w:numPr>
          <w:ilvl w:val="0"/>
          <w:numId w:val="1"/>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和乙方分别为本协议意志的独立签约方，本协议不涉及双方专利/特许转让、合资或合伙人关系，亦不产生雇佣、主仆或主次关系。任何一方没有且不能做出约束对方任何力量、权力和权限，未得到对方的书面认可，也不能代表另一方做出有关责任或义务、陈述或恳求的承诺。</w:t>
      </w:r>
    </w:p>
    <w:p>
      <w:pPr>
        <w:widowControl w:val="0"/>
        <w:numPr>
          <w:ilvl w:val="0"/>
          <w:numId w:val="1"/>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甲方不作为乙方与其客户之间的任何协议的当事人方。</w:t>
      </w:r>
    </w:p>
    <w:p>
      <w:pPr>
        <w:widowControl w:val="0"/>
        <w:numPr>
          <w:ilvl w:val="0"/>
          <w:numId w:val="1"/>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不得代表甲方与任何第三方签订任何口头或书面的协议或以任何方式约束甲方，乙方对其客户做出的关于价格、数量、交货期、规格、保修期、变更、执行能力和适当性方面的承诺为乙方独立的责任，乙方不应让甲方为乙方的承诺负责。乙方做出的或乙方雇员、分销代理商及合作伙伴等作出的任何违反本协议的行为是独立于甲方授权行为之外的乙方行为，由乙方独立承担法律后果或乙方与其分销代理商、合作伙伴连带承担相应的法律责任。</w:t>
      </w:r>
    </w:p>
    <w:p>
      <w:pPr>
        <w:autoSpaceDE w:val="0"/>
        <w:autoSpaceDN w:val="0"/>
        <w:adjustRightInd w:val="0"/>
        <w:snapToGrid w:val="0"/>
        <w:spacing w:line="360" w:lineRule="auto"/>
        <w:rPr>
          <w:rFonts w:ascii="宋体" w:hAnsi="宋体"/>
          <w:szCs w:val="21"/>
          <w:lang w:eastAsia="zh-CN"/>
        </w:rPr>
      </w:pPr>
      <w:bookmarkStart w:id="1" w:name="_Toc124839533"/>
      <w:bookmarkStart w:id="2" w:name="_Toc124907846"/>
      <w:bookmarkStart w:id="3" w:name="_Toc186528966"/>
    </w:p>
    <w:p>
      <w:pPr>
        <w:autoSpaceDE w:val="0"/>
        <w:autoSpaceDN w:val="0"/>
        <w:adjustRightInd w:val="0"/>
        <w:snapToGrid w:val="0"/>
        <w:spacing w:line="360" w:lineRule="auto"/>
        <w:outlineLvl w:val="0"/>
        <w:rPr>
          <w:rFonts w:ascii="宋体" w:hAnsi="宋体"/>
          <w:b/>
          <w:szCs w:val="21"/>
          <w:lang w:eastAsia="zh-CN"/>
        </w:rPr>
      </w:pPr>
      <w:bookmarkStart w:id="4" w:name="_Toc441666458"/>
      <w:r>
        <w:rPr>
          <w:rFonts w:hint="eastAsia" w:ascii="宋体" w:hAnsi="宋体"/>
          <w:b/>
          <w:szCs w:val="21"/>
          <w:lang w:eastAsia="zh-CN"/>
        </w:rPr>
        <w:t>二</w:t>
      </w:r>
      <w:r>
        <w:rPr>
          <w:rFonts w:ascii="宋体" w:hAnsi="宋体"/>
          <w:b/>
          <w:szCs w:val="21"/>
          <w:lang w:eastAsia="zh-CN"/>
        </w:rPr>
        <w:t xml:space="preserve">. </w:t>
      </w:r>
      <w:r>
        <w:rPr>
          <w:rFonts w:hint="eastAsia" w:ascii="宋体" w:hAnsi="宋体"/>
          <w:b/>
          <w:szCs w:val="21"/>
          <w:lang w:eastAsia="zh-CN"/>
        </w:rPr>
        <w:t>甲方的权利和义务</w:t>
      </w:r>
      <w:bookmarkEnd w:id="4"/>
    </w:p>
    <w:p>
      <w:pPr>
        <w:autoSpaceDE w:val="0"/>
        <w:autoSpaceDN w:val="0"/>
        <w:adjustRightInd w:val="0"/>
        <w:snapToGrid w:val="0"/>
        <w:spacing w:line="360" w:lineRule="auto"/>
        <w:ind w:left="440" w:leftChars="200"/>
        <w:rPr>
          <w:rFonts w:ascii="宋体" w:hAnsi="宋体"/>
          <w:szCs w:val="21"/>
          <w:lang w:eastAsia="zh-CN"/>
        </w:rPr>
      </w:pPr>
      <w:r>
        <w:rPr>
          <w:rFonts w:hint="eastAsia" w:ascii="宋体" w:hAnsi="宋体"/>
          <w:szCs w:val="21"/>
          <w:lang w:eastAsia="zh-CN"/>
        </w:rPr>
        <w:t>甲方针对不同类型的合作伙伴全部或部分提供以下业务支持和管理。</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按照价格体系向乙方提供紫光恒越授权产品。</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积极配合乙方开拓、发展目标客户和相关项目</w:t>
      </w:r>
      <w:r>
        <w:rPr>
          <w:rFonts w:ascii="宋体" w:hAnsi="宋体"/>
          <w:szCs w:val="21"/>
          <w:lang w:eastAsia="zh-CN"/>
        </w:rPr>
        <w:t>,</w:t>
      </w:r>
      <w:r>
        <w:rPr>
          <w:rFonts w:hint="eastAsia" w:ascii="宋体" w:hAnsi="宋体"/>
          <w:szCs w:val="21"/>
          <w:lang w:eastAsia="zh-CN"/>
        </w:rPr>
        <w:t xml:space="preserve"> 根据本协议的有关规定监督乙方的执行情况</w:t>
      </w:r>
      <w:r>
        <w:rPr>
          <w:rFonts w:ascii="宋体" w:hAnsi="宋体"/>
          <w:szCs w:val="21"/>
          <w:lang w:eastAsia="zh-CN"/>
        </w:rPr>
        <w:t>,</w:t>
      </w:r>
      <w:r>
        <w:rPr>
          <w:rFonts w:hint="eastAsia" w:ascii="宋体" w:hAnsi="宋体"/>
          <w:szCs w:val="21"/>
          <w:lang w:eastAsia="zh-CN"/>
        </w:rPr>
        <w:t>当乙方人员无法胜任紫光恒越授权产品的销售及服务工作时，有权向乙方提出更换建议。</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根据项目的具体情况为乙方的项目提供价格支持。</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经常性地同乙方交流甲方政策、产品和市场信息，积极协助乙方开展行业市场的推广工作，对于乙方在合作领域的市场宣传活动，甲方将提供媒体、投放内容等的建议，并对宣传活动的内容具有监督权。</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甲方可根据本协议单独决定对乙方举办的各类市场活动给予人力、资料等方面必要的支持，但乙方须提前申请并报甲方审核批准；活动结束后，乙方须按照甲方相关政策向甲方提交活动报告及相关必要资料。</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根据乙方的需求，甲方有偿向乙方的员工提供必要的售前、售后培训和支持。</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当乙方的销售及市场行为违反本协议的约定时，甲方有权对乙方实施劝告、警告、罚款、停止合作以至取消合作伙伴资格等处罚。</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甲方在认为有必要的时候，有权要求乙方提供乙方与其下级合作伙伴签订的项目合同原件，以及其下级合作伙伴与最终用户签订的合同原件，以供审核或备案。如乙方无法提供上述合同原件，甲方有权不予供货。</w:t>
      </w:r>
    </w:p>
    <w:p>
      <w:pPr>
        <w:widowControl w:val="0"/>
        <w:numPr>
          <w:ilvl w:val="0"/>
          <w:numId w:val="2"/>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甲方在认为有必要的时候，有权到乙方现场进行抽查，抽查内容包括但不限于与项目相关的全部文件资料、库存等，如乙方不予配合，甲方有权冻结乙方的返点发放和使用，并暂停合作，直至抽查结束。</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outlineLvl w:val="0"/>
        <w:rPr>
          <w:rFonts w:ascii="宋体" w:hAnsi="宋体"/>
          <w:b/>
          <w:szCs w:val="21"/>
        </w:rPr>
      </w:pPr>
      <w:bookmarkStart w:id="5" w:name="_Toc441666459"/>
      <w:r>
        <w:rPr>
          <w:rFonts w:hint="eastAsia" w:ascii="宋体" w:hAnsi="宋体"/>
          <w:b/>
          <w:szCs w:val="21"/>
        </w:rPr>
        <w:t>三</w:t>
      </w:r>
      <w:r>
        <w:rPr>
          <w:rFonts w:ascii="宋体" w:hAnsi="宋体"/>
          <w:b/>
          <w:szCs w:val="21"/>
        </w:rPr>
        <w:t>.</w:t>
      </w:r>
      <w:r>
        <w:rPr>
          <w:rFonts w:hint="eastAsia" w:ascii="宋体" w:hAnsi="宋体"/>
          <w:b/>
          <w:szCs w:val="21"/>
        </w:rPr>
        <w:t xml:space="preserve"> 乙方的权利和义务</w:t>
      </w:r>
      <w:bookmarkEnd w:id="5"/>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在授权区域内积极销售紫光恒越授权产品，如经营的项目超出授权地区或授权行业，必须报备甲方，经甲方同意后方可实施。</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积极主动收集有关协议产品的订单、销售、服务、库存信息以及销售预算、预报、市场情报和详细的市场分析和报告，配合甲方的区域行业市场推广活动，大力开发相关行业用户。</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对甲方的各项工作（销售、市场宣传、商务、售前支持、售后服务等）提出建设性建议。</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建立高效的用户响应机制，满足终端用户的售前、售中的技术支持请求，满足用户的售后服务请求，并对服务质量负责。</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遵守现行有效的法律和法规，并将以合法、合乎商业道德的方式开展业务，不会从事任何将对甲方产生不利影响或有损甲方品牌形象和商业信誉的行为。</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自愿遵守甲方制定的有关协议产品的各项商务政策及合作伙伴管理的各项规定，并认同甲方对这些规定及文件的单方制定权、发布权、修改权、解释权、撤消权，自觉维护市场秩序。</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当所经营的项目与其他合作伙伴发生冲突的时候，应该根据甲方的协调建议进行调整，保证和甲方共同维护健康的市场秩序。</w:t>
      </w:r>
    </w:p>
    <w:p>
      <w:pPr>
        <w:widowControl w:val="0"/>
        <w:numPr>
          <w:ilvl w:val="0"/>
          <w:numId w:val="3"/>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承诺，遵守美国政府有关出口管制方面的法律法规，不将本协议约定的产品应用于违反美国政府出口管制方面的行业，不将本协议约定的产品在美国政府禁运的目的地国家销售。乙方违反该项承诺给甲方造成的损失，包括但不限于甲方向第三方支付的罚款、违约金、甲方为维护自己的合法权益支出的律师费、差旅费、鉴定费、公证费、认证费等</w:t>
      </w:r>
      <w:r>
        <w:rPr>
          <w:rFonts w:ascii="宋体" w:hAnsi="宋体"/>
          <w:szCs w:val="21"/>
          <w:lang w:eastAsia="zh-CN"/>
        </w:rPr>
        <w:t xml:space="preserve"> </w:t>
      </w:r>
      <w:r>
        <w:rPr>
          <w:rFonts w:hint="eastAsia" w:ascii="宋体" w:hAnsi="宋体"/>
          <w:szCs w:val="21"/>
          <w:lang w:eastAsia="zh-CN"/>
        </w:rPr>
        <w:t>，由乙方全额赔偿。</w:t>
      </w:r>
    </w:p>
    <w:p>
      <w:pPr>
        <w:autoSpaceDE w:val="0"/>
        <w:autoSpaceDN w:val="0"/>
        <w:adjustRightInd w:val="0"/>
        <w:snapToGrid w:val="0"/>
        <w:spacing w:line="360" w:lineRule="auto"/>
        <w:rPr>
          <w:rFonts w:ascii="宋体" w:hAnsi="宋体"/>
          <w:szCs w:val="21"/>
          <w:lang w:eastAsia="zh-CN"/>
        </w:rPr>
      </w:pPr>
    </w:p>
    <w:bookmarkEnd w:id="1"/>
    <w:bookmarkEnd w:id="2"/>
    <w:bookmarkEnd w:id="3"/>
    <w:p>
      <w:pPr>
        <w:autoSpaceDE w:val="0"/>
        <w:autoSpaceDN w:val="0"/>
        <w:adjustRightInd w:val="0"/>
        <w:snapToGrid w:val="0"/>
        <w:spacing w:line="360" w:lineRule="auto"/>
        <w:outlineLvl w:val="0"/>
        <w:rPr>
          <w:rFonts w:ascii="宋体" w:hAnsi="宋体"/>
          <w:b/>
          <w:szCs w:val="21"/>
        </w:rPr>
      </w:pPr>
      <w:bookmarkStart w:id="6" w:name="_Toc252484892"/>
      <w:bookmarkStart w:id="7" w:name="_Toc441666460"/>
      <w:bookmarkStart w:id="8" w:name="_Toc124679798"/>
      <w:bookmarkStart w:id="9" w:name="_Toc124839549"/>
      <w:bookmarkStart w:id="10" w:name="_Toc124839551"/>
      <w:bookmarkStart w:id="11" w:name="_Toc124907863"/>
      <w:r>
        <w:rPr>
          <w:rFonts w:hint="eastAsia" w:ascii="宋体" w:hAnsi="宋体"/>
          <w:b/>
          <w:szCs w:val="21"/>
        </w:rPr>
        <w:t>四</w:t>
      </w:r>
      <w:r>
        <w:rPr>
          <w:rFonts w:ascii="宋体" w:hAnsi="宋体"/>
          <w:b/>
          <w:szCs w:val="21"/>
        </w:rPr>
        <w:t xml:space="preserve">. </w:t>
      </w:r>
      <w:r>
        <w:rPr>
          <w:rFonts w:hint="eastAsia" w:ascii="宋体" w:hAnsi="宋体"/>
          <w:b/>
          <w:szCs w:val="21"/>
        </w:rPr>
        <w:t>价格及订单</w:t>
      </w:r>
      <w:bookmarkEnd w:id="6"/>
      <w:bookmarkEnd w:id="7"/>
    </w:p>
    <w:p>
      <w:pPr>
        <w:widowControl w:val="0"/>
        <w:numPr>
          <w:ilvl w:val="0"/>
          <w:numId w:val="4"/>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甲方每月发布紫光恒越产品价格体系。</w:t>
      </w:r>
    </w:p>
    <w:p>
      <w:pPr>
        <w:widowControl w:val="0"/>
        <w:numPr>
          <w:ilvl w:val="0"/>
          <w:numId w:val="4"/>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乙方依据甲方渠道政策的要求购买甲方的产品。</w:t>
      </w:r>
    </w:p>
    <w:p>
      <w:pPr>
        <w:widowControl w:val="0"/>
        <w:numPr>
          <w:ilvl w:val="0"/>
          <w:numId w:val="4"/>
        </w:numPr>
        <w:autoSpaceDE w:val="0"/>
        <w:autoSpaceDN w:val="0"/>
        <w:adjustRightInd w:val="0"/>
        <w:snapToGrid w:val="0"/>
        <w:spacing w:after="0" w:line="360" w:lineRule="auto"/>
        <w:jc w:val="both"/>
        <w:rPr>
          <w:rFonts w:ascii="宋体" w:hAnsi="宋体"/>
          <w:szCs w:val="21"/>
        </w:rPr>
      </w:pPr>
      <w:r>
        <w:rPr>
          <w:rFonts w:hint="eastAsia" w:ascii="宋体" w:hAnsi="宋体"/>
          <w:szCs w:val="21"/>
        </w:rPr>
        <w:t>电子商务系统</w:t>
      </w:r>
    </w:p>
    <w:bookmarkEnd w:id="8"/>
    <w:bookmarkEnd w:id="9"/>
    <w:p>
      <w:pPr>
        <w:autoSpaceDE w:val="0"/>
        <w:autoSpaceDN w:val="0"/>
        <w:adjustRightInd w:val="0"/>
        <w:snapToGrid w:val="0"/>
        <w:spacing w:line="360" w:lineRule="auto"/>
        <w:ind w:left="565" w:hanging="565" w:hangingChars="257"/>
        <w:rPr>
          <w:rFonts w:ascii="宋体" w:hAnsi="宋体"/>
          <w:szCs w:val="21"/>
          <w:lang w:eastAsia="zh-CN"/>
        </w:rPr>
      </w:pPr>
      <w:r>
        <w:rPr>
          <w:rFonts w:ascii="宋体" w:hAnsi="宋体"/>
          <w:szCs w:val="21"/>
          <w:lang w:eastAsia="zh-CN"/>
        </w:rPr>
        <w:t xml:space="preserve">3.1  </w:t>
      </w:r>
      <w:r>
        <w:rPr>
          <w:rFonts w:hint="eastAsia" w:ascii="宋体" w:hAnsi="宋体"/>
          <w:szCs w:val="21"/>
          <w:lang w:eastAsia="zh-CN"/>
        </w:rPr>
        <w:t>甲方的电子商务系统向乙方提供网上订单服务，</w:t>
      </w:r>
      <w:r>
        <w:rPr>
          <w:rFonts w:ascii="宋体" w:hAnsi="宋体"/>
          <w:szCs w:val="21"/>
          <w:lang w:eastAsia="zh-CN"/>
        </w:rPr>
        <w:t>所提供的</w:t>
      </w:r>
      <w:r>
        <w:rPr>
          <w:rFonts w:hint="eastAsia" w:ascii="宋体" w:hAnsi="宋体"/>
          <w:szCs w:val="21"/>
          <w:lang w:eastAsia="zh-CN"/>
        </w:rPr>
        <w:t>网上订单</w:t>
      </w:r>
      <w:r>
        <w:rPr>
          <w:rFonts w:ascii="宋体" w:hAnsi="宋体"/>
          <w:szCs w:val="21"/>
          <w:lang w:eastAsia="zh-CN"/>
        </w:rPr>
        <w:t>服务</w:t>
      </w:r>
      <w:r>
        <w:rPr>
          <w:rFonts w:hint="eastAsia" w:ascii="宋体" w:hAnsi="宋体"/>
          <w:szCs w:val="21"/>
          <w:lang w:eastAsia="zh-CN"/>
        </w:rPr>
        <w:t>要求乙方</w:t>
      </w:r>
      <w:r>
        <w:rPr>
          <w:rFonts w:ascii="宋体" w:hAnsi="宋体"/>
          <w:szCs w:val="21"/>
          <w:lang w:eastAsia="zh-CN"/>
        </w:rPr>
        <w:t>按照</w:t>
      </w:r>
      <w:r>
        <w:rPr>
          <w:rFonts w:hint="eastAsia" w:ascii="宋体" w:hAnsi="宋体"/>
          <w:szCs w:val="21"/>
          <w:lang w:eastAsia="zh-CN"/>
        </w:rPr>
        <w:t>甲方</w:t>
      </w:r>
      <w:r>
        <w:rPr>
          <w:rFonts w:ascii="宋体" w:hAnsi="宋体"/>
          <w:szCs w:val="21"/>
          <w:lang w:eastAsia="zh-CN"/>
        </w:rPr>
        <w:t>发布</w:t>
      </w:r>
      <w:r>
        <w:rPr>
          <w:rFonts w:hint="eastAsia" w:ascii="宋体" w:hAnsi="宋体"/>
          <w:szCs w:val="21"/>
          <w:lang w:eastAsia="zh-CN"/>
        </w:rPr>
        <w:t>的相关商务政策</w:t>
      </w:r>
      <w:r>
        <w:rPr>
          <w:rFonts w:ascii="宋体" w:hAnsi="宋体"/>
          <w:szCs w:val="21"/>
          <w:lang w:eastAsia="zh-CN"/>
        </w:rPr>
        <w:t>严格执行。</w:t>
      </w:r>
      <w:r>
        <w:rPr>
          <w:rFonts w:hint="eastAsia" w:ascii="宋体" w:hAnsi="宋体"/>
          <w:szCs w:val="21"/>
          <w:lang w:eastAsia="zh-CN"/>
        </w:rPr>
        <w:t>在执行期间甲方对商务条款的任何修订，都会及时向乙方公布</w:t>
      </w:r>
      <w:r>
        <w:rPr>
          <w:rFonts w:ascii="宋体" w:hAnsi="宋体"/>
          <w:szCs w:val="21"/>
          <w:lang w:eastAsia="zh-CN"/>
        </w:rPr>
        <w:t>。</w:t>
      </w:r>
    </w:p>
    <w:p>
      <w:pPr>
        <w:autoSpaceDE w:val="0"/>
        <w:autoSpaceDN w:val="0"/>
        <w:adjustRightInd w:val="0"/>
        <w:snapToGrid w:val="0"/>
        <w:spacing w:line="360" w:lineRule="auto"/>
        <w:ind w:left="565" w:hanging="565" w:hangingChars="257"/>
        <w:rPr>
          <w:rFonts w:ascii="宋体" w:hAnsi="宋体"/>
          <w:szCs w:val="21"/>
          <w:lang w:eastAsia="zh-CN"/>
        </w:rPr>
      </w:pPr>
      <w:r>
        <w:rPr>
          <w:rFonts w:ascii="宋体" w:hAnsi="宋体"/>
          <w:szCs w:val="21"/>
          <w:lang w:eastAsia="zh-CN"/>
        </w:rPr>
        <w:t xml:space="preserve">3.2  </w:t>
      </w:r>
      <w:r>
        <w:rPr>
          <w:rFonts w:hint="eastAsia" w:ascii="宋体" w:hAnsi="宋体"/>
          <w:szCs w:val="21"/>
          <w:lang w:eastAsia="zh-CN"/>
        </w:rPr>
        <w:t>甲乙双方自签订本协议之日起，即表示甲乙双方同意并遵守上述的网上订单商务条款。乙方</w:t>
      </w:r>
      <w:r>
        <w:rPr>
          <w:rFonts w:ascii="宋体" w:hAnsi="宋体"/>
          <w:szCs w:val="21"/>
          <w:lang w:eastAsia="zh-CN"/>
        </w:rPr>
        <w:t>在</w:t>
      </w:r>
      <w:r>
        <w:rPr>
          <w:rFonts w:hint="eastAsia" w:ascii="宋体" w:hAnsi="宋体"/>
          <w:szCs w:val="21"/>
          <w:lang w:eastAsia="zh-CN"/>
        </w:rPr>
        <w:t>使用甲方电子商务系统</w:t>
      </w:r>
      <w:r>
        <w:rPr>
          <w:rFonts w:ascii="宋体" w:hAnsi="宋体"/>
          <w:szCs w:val="21"/>
          <w:lang w:eastAsia="zh-CN"/>
        </w:rPr>
        <w:t>下订单的同时，</w:t>
      </w:r>
      <w:r>
        <w:rPr>
          <w:rFonts w:hint="eastAsia" w:ascii="宋体" w:hAnsi="宋体"/>
          <w:szCs w:val="21"/>
          <w:lang w:eastAsia="zh-CN"/>
        </w:rPr>
        <w:t>即</w:t>
      </w:r>
      <w:r>
        <w:rPr>
          <w:rFonts w:ascii="宋体" w:hAnsi="宋体"/>
          <w:szCs w:val="21"/>
          <w:lang w:eastAsia="zh-CN"/>
        </w:rPr>
        <w:t>表示接受</w:t>
      </w:r>
      <w:r>
        <w:rPr>
          <w:rFonts w:hint="eastAsia" w:ascii="宋体" w:hAnsi="宋体"/>
          <w:szCs w:val="21"/>
          <w:lang w:eastAsia="zh-CN"/>
        </w:rPr>
        <w:t>甲方</w:t>
      </w:r>
      <w:r>
        <w:rPr>
          <w:rFonts w:ascii="宋体" w:hAnsi="宋体"/>
          <w:szCs w:val="21"/>
          <w:lang w:eastAsia="zh-CN"/>
        </w:rPr>
        <w:t>所有的</w:t>
      </w:r>
      <w:r>
        <w:rPr>
          <w:rFonts w:hint="eastAsia" w:ascii="宋体" w:hAnsi="宋体"/>
          <w:szCs w:val="21"/>
          <w:lang w:eastAsia="zh-CN"/>
        </w:rPr>
        <w:t>网上订单商务</w:t>
      </w:r>
      <w:r>
        <w:rPr>
          <w:rFonts w:ascii="宋体" w:hAnsi="宋体"/>
          <w:szCs w:val="21"/>
          <w:lang w:eastAsia="zh-CN"/>
        </w:rPr>
        <w:t>条款</w:t>
      </w:r>
      <w:r>
        <w:rPr>
          <w:rFonts w:hint="eastAsia" w:ascii="宋体" w:hAnsi="宋体"/>
          <w:szCs w:val="21"/>
          <w:lang w:eastAsia="zh-CN"/>
        </w:rPr>
        <w:t>，</w:t>
      </w:r>
      <w:r>
        <w:rPr>
          <w:rFonts w:ascii="宋体" w:hAnsi="宋体"/>
          <w:szCs w:val="21"/>
          <w:lang w:eastAsia="zh-CN"/>
        </w:rPr>
        <w:t>也同时对在</w:t>
      </w:r>
      <w:r>
        <w:rPr>
          <w:rFonts w:hint="eastAsia" w:ascii="宋体" w:hAnsi="宋体"/>
          <w:szCs w:val="21"/>
          <w:lang w:eastAsia="zh-CN"/>
        </w:rPr>
        <w:t>网上</w:t>
      </w:r>
      <w:r>
        <w:rPr>
          <w:rFonts w:ascii="宋体" w:hAnsi="宋体"/>
          <w:szCs w:val="21"/>
          <w:lang w:eastAsia="zh-CN"/>
        </w:rPr>
        <w:t>订单中提供的所有信息的真实性</w:t>
      </w:r>
      <w:r>
        <w:rPr>
          <w:rFonts w:hint="eastAsia" w:ascii="宋体" w:hAnsi="宋体"/>
          <w:szCs w:val="21"/>
          <w:lang w:eastAsia="zh-CN"/>
        </w:rPr>
        <w:t>和准确性</w:t>
      </w:r>
      <w:r>
        <w:rPr>
          <w:rFonts w:ascii="宋体" w:hAnsi="宋体"/>
          <w:szCs w:val="21"/>
          <w:lang w:eastAsia="zh-CN"/>
        </w:rPr>
        <w:t>负责。</w:t>
      </w:r>
    </w:p>
    <w:p>
      <w:pPr>
        <w:autoSpaceDE w:val="0"/>
        <w:autoSpaceDN w:val="0"/>
        <w:adjustRightInd w:val="0"/>
        <w:snapToGrid w:val="0"/>
        <w:spacing w:line="360" w:lineRule="auto"/>
        <w:ind w:left="565" w:hanging="565" w:hangingChars="257"/>
        <w:rPr>
          <w:rFonts w:ascii="宋体" w:hAnsi="宋体"/>
          <w:szCs w:val="21"/>
          <w:lang w:eastAsia="zh-CN"/>
        </w:rPr>
      </w:pPr>
      <w:r>
        <w:rPr>
          <w:rFonts w:ascii="宋体" w:hAnsi="宋体"/>
          <w:szCs w:val="21"/>
          <w:lang w:eastAsia="zh-CN"/>
        </w:rPr>
        <w:t xml:space="preserve">3.3 </w:t>
      </w:r>
      <w:r>
        <w:rPr>
          <w:rFonts w:hint="eastAsia" w:ascii="宋体" w:hAnsi="宋体"/>
          <w:szCs w:val="21"/>
          <w:lang w:eastAsia="zh-CN"/>
        </w:rPr>
        <w:t xml:space="preserve"> 乙方通过电子商务系统成功发布</w:t>
      </w:r>
      <w:r>
        <w:rPr>
          <w:rFonts w:ascii="宋体" w:hAnsi="宋体"/>
          <w:szCs w:val="21"/>
          <w:lang w:eastAsia="zh-CN"/>
        </w:rPr>
        <w:t>订单</w:t>
      </w:r>
      <w:r>
        <w:rPr>
          <w:rFonts w:hint="eastAsia" w:ascii="宋体" w:hAnsi="宋体"/>
          <w:szCs w:val="21"/>
          <w:lang w:eastAsia="zh-CN"/>
        </w:rPr>
        <w:t>后，须将订单盖章后传真给甲方。甲方在系统中将乙方成功发布的订单审核通过之前，甲方和乙方</w:t>
      </w:r>
      <w:r>
        <w:rPr>
          <w:rFonts w:ascii="宋体" w:hAnsi="宋体"/>
          <w:szCs w:val="21"/>
          <w:lang w:eastAsia="zh-CN"/>
        </w:rPr>
        <w:t>之间不存在</w:t>
      </w:r>
      <w:r>
        <w:rPr>
          <w:rFonts w:hint="eastAsia" w:ascii="宋体" w:hAnsi="宋体"/>
          <w:szCs w:val="21"/>
          <w:lang w:eastAsia="zh-CN"/>
        </w:rPr>
        <w:t>除本合作协议之外的</w:t>
      </w:r>
      <w:r>
        <w:rPr>
          <w:rFonts w:ascii="宋体" w:hAnsi="宋体"/>
          <w:szCs w:val="21"/>
          <w:lang w:eastAsia="zh-CN"/>
        </w:rPr>
        <w:t>任何契约关系</w:t>
      </w:r>
      <w:r>
        <w:rPr>
          <w:rFonts w:hint="eastAsia" w:ascii="宋体" w:hAnsi="宋体"/>
          <w:szCs w:val="21"/>
          <w:lang w:eastAsia="zh-CN"/>
        </w:rPr>
        <w:t>。一旦甲方将订单审核通过，该网上订单等同于甲乙双方签订的订货合同，具有同等法律效力。</w:t>
      </w:r>
    </w:p>
    <w:p>
      <w:pPr>
        <w:autoSpaceDE w:val="0"/>
        <w:autoSpaceDN w:val="0"/>
        <w:adjustRightInd w:val="0"/>
        <w:snapToGrid w:val="0"/>
        <w:spacing w:line="360" w:lineRule="auto"/>
        <w:ind w:left="565" w:hanging="565" w:hangingChars="257"/>
        <w:rPr>
          <w:rFonts w:ascii="宋体" w:hAnsi="宋体"/>
          <w:szCs w:val="21"/>
          <w:lang w:eastAsia="zh-CN"/>
        </w:rPr>
      </w:pPr>
      <w:r>
        <w:rPr>
          <w:rFonts w:ascii="宋体" w:hAnsi="宋体"/>
          <w:szCs w:val="21"/>
          <w:lang w:eastAsia="zh-CN"/>
        </w:rPr>
        <w:t>3.4</w:t>
      </w:r>
      <w:r>
        <w:rPr>
          <w:rFonts w:hint="eastAsia" w:ascii="宋体" w:hAnsi="宋体"/>
          <w:szCs w:val="21"/>
          <w:lang w:eastAsia="zh-CN"/>
        </w:rPr>
        <w:t xml:space="preserve">  甲方</w:t>
      </w:r>
      <w:r>
        <w:rPr>
          <w:rFonts w:ascii="宋体" w:hAnsi="宋体"/>
          <w:szCs w:val="21"/>
          <w:lang w:eastAsia="zh-CN"/>
        </w:rPr>
        <w:t>对因</w:t>
      </w:r>
      <w:r>
        <w:rPr>
          <w:rFonts w:hint="eastAsia" w:ascii="宋体" w:hAnsi="宋体"/>
          <w:szCs w:val="21"/>
          <w:lang w:eastAsia="zh-CN"/>
        </w:rPr>
        <w:t>电子商务</w:t>
      </w:r>
      <w:r>
        <w:rPr>
          <w:rFonts w:ascii="宋体" w:hAnsi="宋体"/>
          <w:szCs w:val="21"/>
          <w:lang w:eastAsia="zh-CN"/>
        </w:rPr>
        <w:t>系统受损或受</w:t>
      </w:r>
      <w:r>
        <w:rPr>
          <w:rFonts w:hint="eastAsia" w:ascii="宋体" w:hAnsi="宋体"/>
          <w:szCs w:val="21"/>
          <w:lang w:eastAsia="zh-CN"/>
        </w:rPr>
        <w:t>第三方</w:t>
      </w:r>
      <w:r>
        <w:rPr>
          <w:rFonts w:ascii="宋体" w:hAnsi="宋体"/>
          <w:szCs w:val="21"/>
          <w:lang w:eastAsia="zh-CN"/>
        </w:rPr>
        <w:t>恶意破坏而</w:t>
      </w:r>
      <w:r>
        <w:rPr>
          <w:rFonts w:hint="eastAsia" w:ascii="宋体" w:hAnsi="宋体"/>
          <w:szCs w:val="21"/>
          <w:lang w:eastAsia="zh-CN"/>
        </w:rPr>
        <w:t>造成网上订单无法及时履行</w:t>
      </w:r>
      <w:r>
        <w:rPr>
          <w:rFonts w:ascii="宋体" w:hAnsi="宋体"/>
          <w:szCs w:val="21"/>
          <w:lang w:eastAsia="zh-CN"/>
        </w:rPr>
        <w:t>不负有任何法律责</w:t>
      </w:r>
      <w:r>
        <w:rPr>
          <w:rFonts w:hint="eastAsia" w:ascii="宋体" w:hAnsi="宋体"/>
          <w:szCs w:val="21"/>
          <w:lang w:eastAsia="zh-CN"/>
        </w:rPr>
        <w:t>任</w:t>
      </w:r>
      <w:r>
        <w:rPr>
          <w:rFonts w:ascii="宋体" w:hAnsi="宋体"/>
          <w:szCs w:val="21"/>
          <w:lang w:eastAsia="zh-CN"/>
        </w:rPr>
        <w:t>。</w:t>
      </w:r>
    </w:p>
    <w:p>
      <w:pPr>
        <w:autoSpaceDE w:val="0"/>
        <w:autoSpaceDN w:val="0"/>
        <w:adjustRightInd w:val="0"/>
        <w:snapToGrid w:val="0"/>
        <w:spacing w:line="360" w:lineRule="auto"/>
        <w:ind w:left="565" w:hanging="565" w:hangingChars="257"/>
        <w:rPr>
          <w:rFonts w:ascii="宋体" w:hAnsi="宋体"/>
          <w:szCs w:val="21"/>
          <w:lang w:eastAsia="zh-CN"/>
        </w:rPr>
      </w:pPr>
      <w:r>
        <w:rPr>
          <w:rFonts w:ascii="宋体" w:hAnsi="宋体"/>
          <w:szCs w:val="21"/>
          <w:lang w:eastAsia="zh-CN"/>
        </w:rPr>
        <w:t>3.5</w:t>
      </w:r>
      <w:r>
        <w:rPr>
          <w:rFonts w:hint="eastAsia" w:ascii="宋体" w:hAnsi="宋体"/>
          <w:szCs w:val="21"/>
          <w:lang w:eastAsia="zh-CN"/>
        </w:rPr>
        <w:t xml:space="preserve">  乙方凭用户名和密码在甲方电子商务系统上进行网上</w:t>
      </w:r>
      <w:r>
        <w:rPr>
          <w:rFonts w:ascii="宋体" w:hAnsi="宋体"/>
          <w:szCs w:val="21"/>
          <w:lang w:eastAsia="zh-CN"/>
        </w:rPr>
        <w:t>订单的</w:t>
      </w:r>
      <w:r>
        <w:rPr>
          <w:rFonts w:hint="eastAsia" w:ascii="宋体" w:hAnsi="宋体"/>
          <w:szCs w:val="21"/>
          <w:lang w:eastAsia="zh-CN"/>
        </w:rPr>
        <w:t>操作，乙方</w:t>
      </w:r>
      <w:r>
        <w:rPr>
          <w:rFonts w:ascii="宋体" w:hAnsi="宋体"/>
          <w:szCs w:val="21"/>
          <w:lang w:eastAsia="zh-CN"/>
        </w:rPr>
        <w:t>需妥善保管</w:t>
      </w:r>
      <w:r>
        <w:rPr>
          <w:rFonts w:hint="eastAsia" w:ascii="宋体" w:hAnsi="宋体"/>
          <w:szCs w:val="21"/>
          <w:lang w:eastAsia="zh-CN"/>
        </w:rPr>
        <w:t>用户名</w:t>
      </w:r>
      <w:r>
        <w:rPr>
          <w:rFonts w:ascii="宋体" w:hAnsi="宋体"/>
          <w:szCs w:val="21"/>
          <w:lang w:eastAsia="zh-CN"/>
        </w:rPr>
        <w:t>和密码，不得将</w:t>
      </w:r>
      <w:r>
        <w:rPr>
          <w:rFonts w:hint="eastAsia" w:ascii="宋体" w:hAnsi="宋体"/>
          <w:szCs w:val="21"/>
          <w:lang w:eastAsia="zh-CN"/>
        </w:rPr>
        <w:t>用户名</w:t>
      </w:r>
      <w:r>
        <w:rPr>
          <w:rFonts w:ascii="宋体" w:hAnsi="宋体"/>
          <w:szCs w:val="21"/>
          <w:lang w:eastAsia="zh-CN"/>
        </w:rPr>
        <w:t>和密码转告他人，否则因此产生的风险及</w:t>
      </w:r>
      <w:r>
        <w:rPr>
          <w:rFonts w:hint="eastAsia" w:ascii="宋体" w:hAnsi="宋体"/>
          <w:szCs w:val="21"/>
          <w:lang w:eastAsia="zh-CN"/>
        </w:rPr>
        <w:t>损失将由乙方承担全部责任。</w:t>
      </w:r>
    </w:p>
    <w:p>
      <w:pPr>
        <w:autoSpaceDE w:val="0"/>
        <w:autoSpaceDN w:val="0"/>
        <w:adjustRightInd w:val="0"/>
        <w:snapToGrid w:val="0"/>
        <w:spacing w:line="360" w:lineRule="auto"/>
        <w:ind w:left="565" w:hanging="565" w:hangingChars="257"/>
        <w:rPr>
          <w:rFonts w:ascii="宋体" w:hAnsi="宋体"/>
          <w:szCs w:val="21"/>
          <w:lang w:eastAsia="zh-CN"/>
        </w:rPr>
      </w:pPr>
      <w:r>
        <w:rPr>
          <w:rFonts w:ascii="宋体" w:hAnsi="宋体"/>
          <w:szCs w:val="21"/>
          <w:lang w:eastAsia="zh-CN"/>
        </w:rPr>
        <w:t xml:space="preserve">3.6 </w:t>
      </w:r>
      <w:r>
        <w:rPr>
          <w:rFonts w:hint="eastAsia" w:ascii="宋体" w:hAnsi="宋体"/>
          <w:szCs w:val="21"/>
          <w:lang w:eastAsia="zh-CN"/>
        </w:rPr>
        <w:t xml:space="preserve"> 甲方对网上订单商务条款拥有最终解释权。</w:t>
      </w:r>
    </w:p>
    <w:p>
      <w:pPr>
        <w:autoSpaceDE w:val="0"/>
        <w:autoSpaceDN w:val="0"/>
        <w:adjustRightInd w:val="0"/>
        <w:snapToGrid w:val="0"/>
        <w:spacing w:line="360" w:lineRule="auto"/>
        <w:rPr>
          <w:rFonts w:ascii="宋体" w:hAnsi="宋体"/>
          <w:b/>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12" w:name="_Toc441666461"/>
      <w:bookmarkStart w:id="13" w:name="_Toc252484893"/>
      <w:r>
        <w:rPr>
          <w:rFonts w:hint="eastAsia" w:ascii="宋体" w:hAnsi="宋体"/>
          <w:b/>
          <w:szCs w:val="21"/>
          <w:lang w:eastAsia="zh-CN"/>
        </w:rPr>
        <w:t>五．付款方式</w:t>
      </w:r>
      <w:bookmarkEnd w:id="12"/>
      <w:bookmarkEnd w:id="13"/>
    </w:p>
    <w:p>
      <w:pPr>
        <w:autoSpaceDE w:val="0"/>
        <w:autoSpaceDN w:val="0"/>
        <w:adjustRightInd w:val="0"/>
        <w:snapToGrid w:val="0"/>
        <w:spacing w:line="360" w:lineRule="auto"/>
        <w:ind w:left="420"/>
        <w:rPr>
          <w:rFonts w:ascii="宋体" w:hAnsi="宋体"/>
          <w:szCs w:val="21"/>
          <w:lang w:eastAsia="zh-CN"/>
        </w:rPr>
      </w:pPr>
      <w:r>
        <w:rPr>
          <w:rFonts w:hint="eastAsia" w:ascii="宋体" w:hAnsi="宋体"/>
          <w:szCs w:val="21"/>
          <w:lang w:eastAsia="zh-CN"/>
        </w:rPr>
        <w:t>甲方遵循紫光恒越商务政策的要求，根据签约类型的不同，提供几种付款方式供乙方选择，具体参见具体商务政策。</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14" w:name="_Toc124839558"/>
      <w:bookmarkStart w:id="15" w:name="_Toc124907870"/>
      <w:bookmarkStart w:id="16" w:name="_Toc186528998"/>
      <w:bookmarkStart w:id="17" w:name="_Toc441666462"/>
      <w:r>
        <w:rPr>
          <w:rFonts w:hint="eastAsia" w:ascii="宋体" w:hAnsi="宋体"/>
          <w:b/>
          <w:szCs w:val="21"/>
          <w:lang w:eastAsia="zh-CN"/>
        </w:rPr>
        <w:t>六．所有权</w:t>
      </w:r>
      <w:bookmarkEnd w:id="14"/>
      <w:bookmarkEnd w:id="15"/>
      <w:bookmarkEnd w:id="16"/>
      <w:r>
        <w:rPr>
          <w:rFonts w:hint="eastAsia" w:ascii="宋体" w:hAnsi="宋体"/>
          <w:b/>
          <w:szCs w:val="21"/>
          <w:lang w:eastAsia="zh-CN"/>
        </w:rPr>
        <w:t>声明</w:t>
      </w:r>
      <w:bookmarkEnd w:id="17"/>
    </w:p>
    <w:p>
      <w:pPr>
        <w:autoSpaceDE w:val="0"/>
        <w:autoSpaceDN w:val="0"/>
        <w:adjustRightInd w:val="0"/>
        <w:snapToGrid w:val="0"/>
        <w:spacing w:line="360" w:lineRule="auto"/>
        <w:ind w:left="420"/>
        <w:rPr>
          <w:rFonts w:ascii="宋体" w:hAnsi="宋体"/>
          <w:szCs w:val="21"/>
          <w:lang w:eastAsia="zh-CN"/>
        </w:rPr>
      </w:pPr>
      <w:r>
        <w:rPr>
          <w:rFonts w:hint="eastAsia" w:ascii="宋体" w:hAnsi="宋体"/>
          <w:szCs w:val="21"/>
          <w:lang w:eastAsia="zh-CN"/>
        </w:rPr>
        <w:t>在产品交付之前任何产品毁损、灭失的风险，由甲方承担；产品交付给乙方后、任何产品毁损、灭失的风险，由乙方承担。</w:t>
      </w:r>
    </w:p>
    <w:p>
      <w:pPr>
        <w:autoSpaceDE w:val="0"/>
        <w:autoSpaceDN w:val="0"/>
        <w:adjustRightInd w:val="0"/>
        <w:snapToGrid w:val="0"/>
        <w:spacing w:line="360" w:lineRule="auto"/>
        <w:rPr>
          <w:rFonts w:ascii="宋体" w:hAnsi="宋体"/>
          <w:szCs w:val="21"/>
          <w:lang w:eastAsia="zh-CN"/>
        </w:rPr>
      </w:pPr>
    </w:p>
    <w:bookmarkEnd w:id="10"/>
    <w:bookmarkEnd w:id="11"/>
    <w:p>
      <w:pPr>
        <w:autoSpaceDE w:val="0"/>
        <w:autoSpaceDN w:val="0"/>
        <w:adjustRightInd w:val="0"/>
        <w:snapToGrid w:val="0"/>
        <w:spacing w:line="360" w:lineRule="auto"/>
        <w:outlineLvl w:val="0"/>
        <w:rPr>
          <w:rFonts w:ascii="宋体" w:hAnsi="宋体"/>
          <w:b/>
          <w:szCs w:val="21"/>
          <w:lang w:eastAsia="zh-CN"/>
        </w:rPr>
      </w:pPr>
      <w:bookmarkStart w:id="18" w:name="_Toc186528994"/>
      <w:bookmarkStart w:id="19" w:name="_Toc124839555"/>
      <w:bookmarkStart w:id="20" w:name="_Toc124907867"/>
      <w:bookmarkStart w:id="21" w:name="_Toc441666463"/>
      <w:r>
        <w:rPr>
          <w:rFonts w:hint="eastAsia" w:ascii="宋体" w:hAnsi="宋体"/>
          <w:b/>
          <w:szCs w:val="21"/>
          <w:lang w:eastAsia="zh-CN"/>
        </w:rPr>
        <w:t>七</w:t>
      </w:r>
      <w:r>
        <w:rPr>
          <w:rFonts w:ascii="宋体" w:hAnsi="宋体"/>
          <w:b/>
          <w:szCs w:val="21"/>
          <w:lang w:eastAsia="zh-CN"/>
        </w:rPr>
        <w:t xml:space="preserve">. </w:t>
      </w:r>
      <w:r>
        <w:rPr>
          <w:rFonts w:hint="eastAsia" w:ascii="宋体" w:hAnsi="宋体"/>
          <w:b/>
          <w:szCs w:val="21"/>
          <w:lang w:eastAsia="zh-CN"/>
        </w:rPr>
        <w:t>售前支持服务</w:t>
      </w:r>
      <w:bookmarkEnd w:id="18"/>
      <w:bookmarkEnd w:id="19"/>
      <w:bookmarkEnd w:id="20"/>
      <w:bookmarkEnd w:id="21"/>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甲方针对不同类型的合作伙伴全部或部分提供以下售前支持服务。</w:t>
      </w:r>
    </w:p>
    <w:p>
      <w:pPr>
        <w:widowControl w:val="0"/>
        <w:numPr>
          <w:ilvl w:val="0"/>
          <w:numId w:val="5"/>
        </w:numPr>
        <w:autoSpaceDE w:val="0"/>
        <w:autoSpaceDN w:val="0"/>
        <w:adjustRightInd w:val="0"/>
        <w:snapToGrid w:val="0"/>
        <w:spacing w:after="0" w:line="360" w:lineRule="auto"/>
        <w:jc w:val="both"/>
        <w:rPr>
          <w:rFonts w:ascii="宋体" w:hAnsi="宋体"/>
          <w:szCs w:val="21"/>
          <w:lang w:eastAsia="zh-CN"/>
        </w:rPr>
      </w:pPr>
      <w:bookmarkStart w:id="22" w:name="_Toc186528996"/>
      <w:bookmarkStart w:id="23" w:name="_Toc187834340"/>
      <w:r>
        <w:rPr>
          <w:rFonts w:hint="eastAsia" w:ascii="宋体" w:hAnsi="宋体"/>
          <w:szCs w:val="21"/>
          <w:lang w:eastAsia="zh-CN"/>
        </w:rPr>
        <w:t>有计划组织安排合作伙伴认证培训和常规技术、产品和行业方案培训，同时建立定期沟通机制提供学习提高的技术交流平台。</w:t>
      </w:r>
    </w:p>
    <w:p>
      <w:pPr>
        <w:widowControl w:val="0"/>
        <w:numPr>
          <w:ilvl w:val="0"/>
          <w:numId w:val="5"/>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每个区域均可通过技术工程师沙龙、咨询电话、电子邮件以及通过紫光恒越外网合作伙伴专区等方式进行实时咨询，为乙方和最终用户提供免费咨询服务。</w:t>
      </w:r>
    </w:p>
    <w:p>
      <w:pPr>
        <w:widowControl w:val="0"/>
        <w:numPr>
          <w:ilvl w:val="0"/>
          <w:numId w:val="5"/>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定期整理产品、技术、典型行业应用案例等咨询材料，通过合作伙伴专区、官网等途径进行公开。</w:t>
      </w:r>
    </w:p>
    <w:p>
      <w:pPr>
        <w:autoSpaceDE w:val="0"/>
        <w:autoSpaceDN w:val="0"/>
        <w:adjustRightInd w:val="0"/>
        <w:snapToGrid w:val="0"/>
        <w:spacing w:line="360" w:lineRule="auto"/>
        <w:rPr>
          <w:rFonts w:ascii="宋体" w:hAnsi="宋体"/>
          <w:szCs w:val="21"/>
          <w:lang w:eastAsia="zh-CN"/>
        </w:rPr>
      </w:pPr>
    </w:p>
    <w:bookmarkEnd w:id="22"/>
    <w:bookmarkEnd w:id="23"/>
    <w:p>
      <w:pPr>
        <w:autoSpaceDE w:val="0"/>
        <w:autoSpaceDN w:val="0"/>
        <w:adjustRightInd w:val="0"/>
        <w:snapToGrid w:val="0"/>
        <w:spacing w:line="360" w:lineRule="auto"/>
        <w:outlineLvl w:val="0"/>
        <w:rPr>
          <w:rFonts w:ascii="宋体" w:hAnsi="宋体"/>
          <w:b/>
          <w:szCs w:val="21"/>
        </w:rPr>
      </w:pPr>
      <w:bookmarkStart w:id="24" w:name="_Toc252484896"/>
      <w:bookmarkStart w:id="25" w:name="_Toc441666464"/>
      <w:r>
        <w:rPr>
          <w:rFonts w:hint="eastAsia" w:ascii="宋体" w:hAnsi="宋体"/>
          <w:b/>
          <w:szCs w:val="21"/>
        </w:rPr>
        <w:t>八</w:t>
      </w:r>
      <w:r>
        <w:rPr>
          <w:rFonts w:ascii="宋体" w:hAnsi="宋体"/>
          <w:b/>
          <w:szCs w:val="21"/>
        </w:rPr>
        <w:t xml:space="preserve">. </w:t>
      </w:r>
      <w:r>
        <w:rPr>
          <w:rFonts w:hint="eastAsia" w:ascii="宋体" w:hAnsi="宋体"/>
          <w:b/>
          <w:szCs w:val="21"/>
        </w:rPr>
        <w:t>售后服务与支持</w:t>
      </w:r>
      <w:bookmarkEnd w:id="24"/>
      <w:bookmarkEnd w:id="25"/>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bookmarkStart w:id="26" w:name="_Toc124679796"/>
      <w:bookmarkStart w:id="27" w:name="_Toc124907869"/>
      <w:bookmarkStart w:id="28" w:name="_Toc186528997"/>
      <w:bookmarkStart w:id="29" w:name="_Toc124839557"/>
      <w:bookmarkStart w:id="30" w:name="_Toc187834341"/>
      <w:r>
        <w:rPr>
          <w:rFonts w:hint="eastAsia" w:ascii="宋体" w:hAnsi="宋体"/>
          <w:szCs w:val="21"/>
          <w:lang w:eastAsia="zh-CN"/>
        </w:rPr>
        <w:t>甲方根据产品保修手册内容，免费向用户和乙方提供服务。</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甲方免费向用户和乙方提供远程技术支持服务。</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甲方有偿向乙方或客户提供高于保修册承诺的服务内容，如项目督导服务、硬件安装督导服务、现场支持服务、备件先行服务、定期巡检服务、培训等服务。</w:t>
      </w:r>
      <w:bookmarkEnd w:id="26"/>
      <w:bookmarkEnd w:id="27"/>
      <w:bookmarkEnd w:id="28"/>
      <w:bookmarkEnd w:id="29"/>
      <w:bookmarkEnd w:id="30"/>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乙方设专人对自身所销售的甲方产品提供服务，服务内容包括但不仅限于设备硬件安装、</w:t>
      </w:r>
      <w:r>
        <w:rPr>
          <w:rFonts w:hint="eastAsia" w:ascii="宋体" w:hAnsi="宋体"/>
          <w:lang w:eastAsia="zh-CN"/>
        </w:rPr>
        <w:t>软件调试服务</w:t>
      </w:r>
      <w:r>
        <w:rPr>
          <w:rFonts w:hint="eastAsia" w:ascii="宋体" w:hAnsi="宋体"/>
          <w:szCs w:val="21"/>
          <w:lang w:eastAsia="zh-CN"/>
        </w:rPr>
        <w:t>、现场支持服务、把用户处的损件送到紫光恒越指定维修点进行维修等。</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乙方在用户购买紫光恒越产品时向用户讲解甲方的保修服务政策，因为没有向用户解释而造成的纠纷由乙方承担责任。</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甲方仅负责甲方承诺的保修期、保修范围和服务内容，如乙方的承诺超过甲方的承诺范围，超出部分由乙方负责，因无法达到超出部分承诺而造成的纠纷由乙方承担责任。</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未经甲方的书面授权，不得对紫光恒越产品进行拆卸，否则被拆卸机不予保修，或收取材料费。</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接到用户对甲方产品质量、服务质量的投诉后，应及时将相关信息反馈至甲方，并协助甲方解决。</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甲方针对不同类型的合作伙伴制定年度服务渠道支持及激励政策，乙方自愿遵守甲方的服务政策并执行，并可在达到甲方要求的情况下，申请获得相关支持和奖励。</w:t>
      </w:r>
    </w:p>
    <w:p>
      <w:pPr>
        <w:widowControl w:val="0"/>
        <w:numPr>
          <w:ilvl w:val="0"/>
          <w:numId w:val="6"/>
        </w:numPr>
        <w:autoSpaceDE w:val="0"/>
        <w:autoSpaceDN w:val="0"/>
        <w:adjustRightInd w:val="0"/>
        <w:snapToGrid w:val="0"/>
        <w:spacing w:after="0" w:line="360" w:lineRule="auto"/>
        <w:jc w:val="both"/>
        <w:rPr>
          <w:rFonts w:ascii="宋体" w:hAnsi="宋体"/>
          <w:szCs w:val="21"/>
          <w:lang w:eastAsia="zh-CN"/>
        </w:rPr>
      </w:pPr>
      <w:r>
        <w:rPr>
          <w:rFonts w:hint="eastAsia" w:ascii="宋体" w:hAnsi="宋体"/>
          <w:color w:val="000000"/>
          <w:lang w:eastAsia="zh-CN"/>
        </w:rPr>
        <w:t>乙方承诺遵守紫光恒越《渠道服务违规管理办法》的规定，如乙方违反《渠道服务违规管理办法》，甲方可以对乙方进行处罚和管理。</w:t>
      </w:r>
    </w:p>
    <w:p>
      <w:pPr>
        <w:autoSpaceDE w:val="0"/>
        <w:autoSpaceDN w:val="0"/>
        <w:adjustRightInd w:val="0"/>
        <w:snapToGrid w:val="0"/>
        <w:spacing w:line="360" w:lineRule="auto"/>
        <w:outlineLvl w:val="0"/>
        <w:rPr>
          <w:rFonts w:ascii="宋体" w:hAnsi="宋体"/>
          <w:b/>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31" w:name="_Toc441666465"/>
      <w:r>
        <w:rPr>
          <w:rFonts w:hint="eastAsia" w:ascii="宋体" w:hAnsi="宋体"/>
          <w:b/>
          <w:szCs w:val="21"/>
          <w:lang w:eastAsia="zh-CN"/>
        </w:rPr>
        <w:t>九</w:t>
      </w:r>
      <w:r>
        <w:rPr>
          <w:rFonts w:ascii="宋体" w:hAnsi="宋体"/>
          <w:b/>
          <w:szCs w:val="21"/>
          <w:lang w:eastAsia="zh-CN"/>
        </w:rPr>
        <w:t xml:space="preserve">. </w:t>
      </w:r>
      <w:r>
        <w:rPr>
          <w:rFonts w:hint="eastAsia" w:ascii="宋体" w:hAnsi="宋体"/>
          <w:b/>
          <w:szCs w:val="21"/>
          <w:lang w:eastAsia="zh-CN"/>
        </w:rPr>
        <w:t>保密条款</w:t>
      </w:r>
      <w:bookmarkEnd w:id="31"/>
    </w:p>
    <w:p>
      <w:pPr>
        <w:autoSpaceDE w:val="0"/>
        <w:autoSpaceDN w:val="0"/>
        <w:adjustRightInd w:val="0"/>
        <w:snapToGrid w:val="0"/>
        <w:spacing w:line="360" w:lineRule="auto"/>
        <w:ind w:left="440" w:leftChars="200"/>
        <w:rPr>
          <w:rFonts w:ascii="宋体" w:hAnsi="宋体"/>
          <w:szCs w:val="21"/>
          <w:lang w:eastAsia="zh-CN"/>
        </w:rPr>
      </w:pPr>
      <w:r>
        <w:rPr>
          <w:rFonts w:hint="eastAsia" w:ascii="宋体" w:hAnsi="宋体"/>
          <w:szCs w:val="21"/>
          <w:lang w:eastAsia="zh-CN"/>
        </w:rPr>
        <w:t>乙方同意在双方代理关系持续期间及协议终止后两年内，仍对其与甲方合作期间接触、知悉的属于甲方或者属于第三方但甲方对之承诺负有保密义务的如下信息，信息内容包括但不限于：产品价格、销售计划、奖励政策、客户清单、财务信息、技术秘密等承担保密义务。未经甲方书面许可，乙方不得向任何第三方泄密。</w:t>
      </w:r>
    </w:p>
    <w:p>
      <w:pPr>
        <w:widowControl w:val="0"/>
        <w:numPr>
          <w:ilvl w:val="0"/>
          <w:numId w:val="7"/>
        </w:numPr>
        <w:autoSpaceDE w:val="0"/>
        <w:autoSpaceDN w:val="0"/>
        <w:adjustRightInd w:val="0"/>
        <w:snapToGrid w:val="0"/>
        <w:spacing w:after="0" w:line="360" w:lineRule="auto"/>
        <w:jc w:val="both"/>
        <w:rPr>
          <w:rFonts w:ascii="宋体" w:hAnsi="宋体"/>
          <w:szCs w:val="21"/>
        </w:rPr>
      </w:pPr>
      <w:bookmarkStart w:id="32" w:name="_Toc124839560"/>
      <w:bookmarkStart w:id="33" w:name="_Toc124907872"/>
      <w:bookmarkStart w:id="34" w:name="_Toc186529000"/>
      <w:bookmarkStart w:id="35" w:name="_Toc187834344"/>
      <w:r>
        <w:rPr>
          <w:rFonts w:hint="eastAsia" w:ascii="宋体" w:hAnsi="宋体"/>
          <w:szCs w:val="21"/>
        </w:rPr>
        <w:t>保密</w:t>
      </w:r>
      <w:bookmarkEnd w:id="32"/>
      <w:bookmarkEnd w:id="33"/>
      <w:bookmarkEnd w:id="34"/>
      <w:bookmarkEnd w:id="35"/>
      <w:r>
        <w:rPr>
          <w:rFonts w:hint="eastAsia" w:ascii="宋体" w:hAnsi="宋体"/>
          <w:szCs w:val="21"/>
        </w:rPr>
        <w:t>信息范围</w:t>
      </w:r>
    </w:p>
    <w:p>
      <w:pPr>
        <w:autoSpaceDE w:val="0"/>
        <w:autoSpaceDN w:val="0"/>
        <w:adjustRightInd w:val="0"/>
        <w:snapToGrid w:val="0"/>
        <w:spacing w:line="360" w:lineRule="auto"/>
        <w:ind w:left="2420" w:leftChars="200" w:hanging="1980" w:hangingChars="900"/>
        <w:rPr>
          <w:rFonts w:ascii="宋体" w:hAnsi="宋体"/>
          <w:szCs w:val="21"/>
          <w:lang w:eastAsia="zh-CN"/>
        </w:rPr>
      </w:pPr>
      <w:bookmarkStart w:id="36" w:name="_Toc124839561"/>
      <w:bookmarkStart w:id="37" w:name="_Toc124907873"/>
      <w:r>
        <w:rPr>
          <w:rFonts w:hint="eastAsia" w:ascii="宋体" w:hAnsi="宋体"/>
          <w:szCs w:val="21"/>
          <w:lang w:eastAsia="zh-CN"/>
        </w:rPr>
        <w:t>保密信息具体是指：乙方在担任甲方高级认证行业合作伙伴期间，因提供代理服务而接触到甲方的技术秘密、商业秘密和其他秘密信息以及甲方向乙方透露的无论是书面的、口头的、图形的、电磁的或其它任何形式的信息。</w:t>
      </w:r>
    </w:p>
    <w:p>
      <w:pPr>
        <w:autoSpaceDE w:val="0"/>
        <w:autoSpaceDN w:val="0"/>
        <w:adjustRightInd w:val="0"/>
        <w:snapToGrid w:val="0"/>
        <w:spacing w:line="360" w:lineRule="auto"/>
        <w:ind w:left="2860" w:leftChars="200" w:hanging="2420" w:hangingChars="1100"/>
        <w:rPr>
          <w:rFonts w:ascii="宋体" w:hAnsi="宋体"/>
          <w:szCs w:val="21"/>
          <w:lang w:eastAsia="zh-CN"/>
        </w:rPr>
      </w:pPr>
      <w:r>
        <w:rPr>
          <w:rFonts w:hint="eastAsia" w:ascii="宋体" w:hAnsi="宋体"/>
          <w:szCs w:val="21"/>
          <w:lang w:eastAsia="zh-CN"/>
        </w:rPr>
        <w:t>技术秘密包括但不限于：技术方案、工程设计、电路设计、制造方法、配方、工艺流程、技术指标、计算机软件、数据库、研究开发记录、技术报告、检测报告、实验数据、试验结果、图纸、样品、样机、模型、模具、工作手册（报告）、技术文档、相关函电以及正在开发或者构思之中的产品设计、技术方案、电路设计、工具、模具、模型、图纸、样品、样机、制造方法、工艺过程、经验公式、实验数据、试验结果、研发记录、检验报告、操作手册、技术文档、相关函电（含电子邮件）、数据库、源程序、计算机软件及其算法、设计等技术信息。</w:t>
      </w:r>
    </w:p>
    <w:p>
      <w:pPr>
        <w:autoSpaceDE w:val="0"/>
        <w:autoSpaceDN w:val="0"/>
        <w:adjustRightInd w:val="0"/>
        <w:snapToGrid w:val="0"/>
        <w:spacing w:line="360" w:lineRule="auto"/>
        <w:ind w:left="2860" w:leftChars="200" w:hanging="2420" w:hangingChars="1100"/>
        <w:rPr>
          <w:rFonts w:ascii="宋体" w:hAnsi="宋体"/>
          <w:szCs w:val="21"/>
          <w:lang w:eastAsia="zh-CN"/>
        </w:rPr>
      </w:pPr>
      <w:r>
        <w:rPr>
          <w:rFonts w:hint="eastAsia" w:ascii="宋体" w:hAnsi="宋体"/>
          <w:szCs w:val="21"/>
          <w:lang w:eastAsia="zh-CN"/>
        </w:rPr>
        <w:t>商业秘密包括但不限于：甲方现有的或者正在开发之中的质量管理方法、管理诀窍、定价方法、产品价格、招投标标底及标书内容、合作意向、销售策略、销售工具、业务计划、营销计划、采购计划、产品开发计划、财务资料、人事情况、内部业务流程、内部培训资料、工作报告、进货渠道、客户名单及资料以及依照法律规定或者合同约定，乙方负有保密义务的第三方的商业秘密。</w:t>
      </w:r>
    </w:p>
    <w:p>
      <w:pPr>
        <w:autoSpaceDE w:val="0"/>
        <w:autoSpaceDN w:val="0"/>
        <w:adjustRightInd w:val="0"/>
        <w:snapToGrid w:val="0"/>
        <w:spacing w:line="360" w:lineRule="auto"/>
        <w:ind w:left="3190" w:leftChars="200" w:hanging="2750" w:hangingChars="1250"/>
        <w:rPr>
          <w:rFonts w:ascii="宋体" w:hAnsi="宋体"/>
          <w:szCs w:val="21"/>
          <w:lang w:eastAsia="zh-CN"/>
        </w:rPr>
      </w:pPr>
      <w:r>
        <w:rPr>
          <w:rFonts w:hint="eastAsia" w:ascii="宋体" w:hAnsi="宋体"/>
          <w:szCs w:val="21"/>
          <w:lang w:eastAsia="zh-CN"/>
        </w:rPr>
        <w:t>其他秘密信息包括但不限于：甲方提供的软件及其说明、产品内部通报的</w:t>
      </w:r>
      <w:r>
        <w:rPr>
          <w:rFonts w:ascii="宋体" w:hAnsi="宋体"/>
          <w:szCs w:val="21"/>
          <w:lang w:eastAsia="zh-CN"/>
        </w:rPr>
        <w:t>BUG</w:t>
      </w:r>
      <w:r>
        <w:rPr>
          <w:rFonts w:hint="eastAsia" w:ascii="宋体" w:hAnsi="宋体"/>
          <w:szCs w:val="21"/>
          <w:lang w:eastAsia="zh-CN"/>
        </w:rPr>
        <w:t>以及常见故障说明、甲方产品的安装调试相关资料、甲方内部人员使用的技术文档、甲方的相关服务流程以及内部政策、数据、模型、样品、草案、技术、方法和其它信息。</w:t>
      </w:r>
      <w:bookmarkStart w:id="38" w:name="_Toc186529001"/>
      <w:bookmarkStart w:id="39" w:name="_Toc187834345"/>
    </w:p>
    <w:bookmarkEnd w:id="36"/>
    <w:bookmarkEnd w:id="37"/>
    <w:bookmarkEnd w:id="38"/>
    <w:bookmarkEnd w:id="39"/>
    <w:p>
      <w:pPr>
        <w:widowControl w:val="0"/>
        <w:numPr>
          <w:ilvl w:val="0"/>
          <w:numId w:val="7"/>
        </w:numPr>
        <w:autoSpaceDE w:val="0"/>
        <w:autoSpaceDN w:val="0"/>
        <w:adjustRightInd w:val="0"/>
        <w:snapToGrid w:val="0"/>
        <w:spacing w:after="0" w:line="360" w:lineRule="auto"/>
        <w:jc w:val="both"/>
        <w:rPr>
          <w:rFonts w:ascii="宋体" w:hAnsi="宋体"/>
          <w:szCs w:val="21"/>
        </w:rPr>
      </w:pPr>
      <w:r>
        <w:rPr>
          <w:rFonts w:hint="eastAsia" w:ascii="宋体" w:hAnsi="宋体"/>
          <w:szCs w:val="21"/>
        </w:rPr>
        <w:t>保密信息的排除范围</w:t>
      </w:r>
    </w:p>
    <w:p>
      <w:pPr>
        <w:autoSpaceDE w:val="0"/>
        <w:autoSpaceDN w:val="0"/>
        <w:adjustRightInd w:val="0"/>
        <w:snapToGrid w:val="0"/>
        <w:spacing w:line="360" w:lineRule="auto"/>
        <w:ind w:firstLine="440" w:firstLineChars="200"/>
        <w:rPr>
          <w:rFonts w:ascii="宋体" w:hAnsi="宋体"/>
          <w:szCs w:val="21"/>
          <w:lang w:eastAsia="zh-CN"/>
        </w:rPr>
      </w:pPr>
      <w:bookmarkStart w:id="40" w:name="_Toc124839562"/>
      <w:bookmarkStart w:id="41" w:name="_Toc124907874"/>
      <w:bookmarkStart w:id="42" w:name="_Toc124679803"/>
      <w:r>
        <w:rPr>
          <w:rFonts w:hint="eastAsia" w:ascii="宋体" w:hAnsi="宋体"/>
          <w:szCs w:val="21"/>
          <w:lang w:eastAsia="zh-CN"/>
        </w:rPr>
        <w:t>乙方不必对甲方以下信息承担保密义务：</w:t>
      </w:r>
    </w:p>
    <w:p>
      <w:pPr>
        <w:widowControl w:val="0"/>
        <w:numPr>
          <w:ilvl w:val="0"/>
          <w:numId w:val="8"/>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本协议签署时，已经为公众知悉的信息。</w:t>
      </w:r>
    </w:p>
    <w:p>
      <w:pPr>
        <w:widowControl w:val="0"/>
        <w:numPr>
          <w:ilvl w:val="0"/>
          <w:numId w:val="8"/>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非乙方公开发表，及非因乙方过错而为公众所知悉的秘密信息。</w:t>
      </w:r>
    </w:p>
    <w:p>
      <w:pPr>
        <w:widowControl w:val="0"/>
        <w:numPr>
          <w:ilvl w:val="0"/>
          <w:numId w:val="8"/>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由甲方书面授权公开的信息。</w:t>
      </w:r>
    </w:p>
    <w:p>
      <w:pPr>
        <w:widowControl w:val="0"/>
        <w:numPr>
          <w:ilvl w:val="0"/>
          <w:numId w:val="8"/>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乙方根据法律规定及按政府有权部门要求，须向政府有权部门提交的信息。</w:t>
      </w:r>
    </w:p>
    <w:p>
      <w:pPr>
        <w:widowControl w:val="0"/>
        <w:numPr>
          <w:ilvl w:val="0"/>
          <w:numId w:val="7"/>
        </w:numPr>
        <w:autoSpaceDE w:val="0"/>
        <w:autoSpaceDN w:val="0"/>
        <w:adjustRightInd w:val="0"/>
        <w:snapToGrid w:val="0"/>
        <w:spacing w:after="0" w:line="360" w:lineRule="auto"/>
        <w:jc w:val="both"/>
        <w:rPr>
          <w:rFonts w:ascii="宋体" w:hAnsi="宋体"/>
          <w:szCs w:val="21"/>
        </w:rPr>
      </w:pPr>
      <w:r>
        <w:rPr>
          <w:rFonts w:hint="eastAsia" w:ascii="宋体" w:hAnsi="宋体"/>
          <w:szCs w:val="21"/>
        </w:rPr>
        <w:t>保密义务</w:t>
      </w:r>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对于甲方的保密信息，乙方在此同意：</w:t>
      </w:r>
    </w:p>
    <w:p>
      <w:pPr>
        <w:autoSpaceDE w:val="0"/>
        <w:autoSpaceDN w:val="0"/>
        <w:adjustRightInd w:val="0"/>
        <w:snapToGrid w:val="0"/>
        <w:spacing w:line="360" w:lineRule="auto"/>
        <w:ind w:left="752" w:leftChars="171" w:hanging="376" w:hangingChars="171"/>
        <w:rPr>
          <w:rFonts w:ascii="宋体" w:hAnsi="宋体"/>
          <w:szCs w:val="21"/>
          <w:lang w:eastAsia="zh-CN"/>
        </w:rPr>
      </w:pPr>
      <w:r>
        <w:rPr>
          <w:rFonts w:hint="eastAsia" w:ascii="宋体" w:hAnsi="宋体"/>
          <w:szCs w:val="21"/>
          <w:lang w:eastAsia="zh-CN"/>
        </w:rPr>
        <w:t>1）乙方应当与能接触该保密信息的员工签订一份保密协议，该协议的实质内容应与本保密协议</w:t>
      </w:r>
    </w:p>
    <w:p>
      <w:pPr>
        <w:autoSpaceDE w:val="0"/>
        <w:autoSpaceDN w:val="0"/>
        <w:adjustRightInd w:val="0"/>
        <w:snapToGrid w:val="0"/>
        <w:spacing w:line="360" w:lineRule="auto"/>
        <w:ind w:left="750" w:leftChars="321" w:hanging="44" w:hangingChars="20"/>
        <w:rPr>
          <w:rFonts w:ascii="宋体" w:hAnsi="宋体"/>
          <w:szCs w:val="21"/>
          <w:lang w:eastAsia="zh-CN"/>
        </w:rPr>
      </w:pPr>
      <w:r>
        <w:rPr>
          <w:rFonts w:hint="eastAsia" w:ascii="宋体" w:hAnsi="宋体"/>
          <w:szCs w:val="21"/>
          <w:lang w:eastAsia="zh-CN"/>
        </w:rPr>
        <w:t>相似。</w:t>
      </w:r>
    </w:p>
    <w:p>
      <w:pPr>
        <w:autoSpaceDE w:val="0"/>
        <w:autoSpaceDN w:val="0"/>
        <w:adjustRightInd w:val="0"/>
        <w:snapToGrid w:val="0"/>
        <w:spacing w:line="360" w:lineRule="auto"/>
        <w:ind w:left="752" w:leftChars="171" w:hanging="376" w:hangingChars="171"/>
        <w:rPr>
          <w:rFonts w:ascii="宋体" w:hAnsi="宋体"/>
          <w:szCs w:val="21"/>
          <w:lang w:eastAsia="zh-CN"/>
        </w:rPr>
      </w:pPr>
      <w:r>
        <w:rPr>
          <w:rFonts w:hint="eastAsia" w:ascii="宋体" w:hAnsi="宋体"/>
          <w:szCs w:val="21"/>
          <w:lang w:eastAsia="zh-CN"/>
        </w:rPr>
        <w:t>2）乙方应当告知并以适当方式要求参与本项工作的员工遵守本协议的保密规定。若参与本项工</w:t>
      </w:r>
    </w:p>
    <w:p>
      <w:pPr>
        <w:autoSpaceDE w:val="0"/>
        <w:autoSpaceDN w:val="0"/>
        <w:adjustRightInd w:val="0"/>
        <w:snapToGrid w:val="0"/>
        <w:spacing w:line="360" w:lineRule="auto"/>
        <w:ind w:left="750" w:leftChars="321" w:hanging="44" w:hangingChars="20"/>
        <w:rPr>
          <w:rFonts w:ascii="宋体" w:hAnsi="宋体"/>
          <w:szCs w:val="21"/>
          <w:lang w:eastAsia="zh-CN"/>
        </w:rPr>
      </w:pPr>
      <w:r>
        <w:rPr>
          <w:rFonts w:hint="eastAsia" w:ascii="宋体" w:hAnsi="宋体"/>
          <w:szCs w:val="21"/>
          <w:lang w:eastAsia="zh-CN"/>
        </w:rPr>
        <w:t>作之员工违反本协议规定，乙方应承担连带责任。</w:t>
      </w:r>
    </w:p>
    <w:p>
      <w:pPr>
        <w:autoSpaceDE w:val="0"/>
        <w:autoSpaceDN w:val="0"/>
        <w:adjustRightInd w:val="0"/>
        <w:snapToGrid w:val="0"/>
        <w:spacing w:line="360" w:lineRule="auto"/>
        <w:ind w:left="752" w:leftChars="171" w:hanging="376" w:hangingChars="171"/>
        <w:rPr>
          <w:rFonts w:ascii="宋体" w:hAnsi="宋体"/>
          <w:szCs w:val="21"/>
          <w:lang w:eastAsia="zh-CN"/>
        </w:rPr>
      </w:pPr>
      <w:r>
        <w:rPr>
          <w:rFonts w:hint="eastAsia" w:ascii="宋体" w:hAnsi="宋体"/>
          <w:szCs w:val="21"/>
          <w:lang w:eastAsia="zh-CN"/>
        </w:rPr>
        <w:t>3）乙方应严格控制甲方所透露的保密信息，保证采取必要的保密措施和制度保护该秘密，包括</w:t>
      </w:r>
    </w:p>
    <w:p>
      <w:pPr>
        <w:autoSpaceDE w:val="0"/>
        <w:autoSpaceDN w:val="0"/>
        <w:adjustRightInd w:val="0"/>
        <w:snapToGrid w:val="0"/>
        <w:spacing w:line="360" w:lineRule="auto"/>
        <w:ind w:left="750" w:leftChars="321" w:hanging="44" w:hangingChars="20"/>
        <w:rPr>
          <w:rFonts w:ascii="宋体" w:hAnsi="宋体"/>
          <w:szCs w:val="21"/>
          <w:lang w:eastAsia="zh-CN"/>
        </w:rPr>
      </w:pPr>
      <w:r>
        <w:rPr>
          <w:rFonts w:hint="eastAsia" w:ascii="宋体" w:hAnsi="宋体"/>
          <w:szCs w:val="21"/>
          <w:lang w:eastAsia="zh-CN"/>
        </w:rPr>
        <w:t>但不限于执行适当的保密程序来避免非授权透露、使用或复制专有信息。</w:t>
      </w:r>
    </w:p>
    <w:p>
      <w:pPr>
        <w:autoSpaceDE w:val="0"/>
        <w:autoSpaceDN w:val="0"/>
        <w:adjustRightInd w:val="0"/>
        <w:snapToGrid w:val="0"/>
        <w:spacing w:line="360" w:lineRule="auto"/>
        <w:ind w:left="752" w:leftChars="171" w:hanging="376" w:hangingChars="171"/>
        <w:rPr>
          <w:rFonts w:ascii="宋体" w:hAnsi="宋体"/>
          <w:szCs w:val="21"/>
          <w:lang w:eastAsia="zh-CN"/>
        </w:rPr>
      </w:pPr>
      <w:r>
        <w:rPr>
          <w:rFonts w:hint="eastAsia" w:ascii="宋体" w:hAnsi="宋体"/>
          <w:szCs w:val="21"/>
          <w:lang w:eastAsia="zh-CN"/>
        </w:rPr>
        <w:t>4）没有甲方的书面许可，乙方不得丢弃和处理任何书面的或其他有形的保密信息。</w:t>
      </w:r>
    </w:p>
    <w:p>
      <w:pPr>
        <w:autoSpaceDE w:val="0"/>
        <w:autoSpaceDN w:val="0"/>
        <w:adjustRightInd w:val="0"/>
        <w:snapToGrid w:val="0"/>
        <w:spacing w:line="360" w:lineRule="auto"/>
        <w:ind w:left="752" w:leftChars="171" w:hanging="376" w:hangingChars="171"/>
        <w:rPr>
          <w:rFonts w:ascii="宋体" w:hAnsi="宋体"/>
          <w:szCs w:val="21"/>
          <w:lang w:eastAsia="zh-CN"/>
        </w:rPr>
      </w:pPr>
      <w:r>
        <w:rPr>
          <w:rFonts w:hint="eastAsia" w:ascii="宋体" w:hAnsi="宋体"/>
          <w:szCs w:val="21"/>
          <w:lang w:eastAsia="zh-CN"/>
        </w:rPr>
        <w:t>5）除用于履行协议之外，乙方任何时候均不得利用本协议所约定的保密信息。</w:t>
      </w:r>
    </w:p>
    <w:p>
      <w:pPr>
        <w:autoSpaceDE w:val="0"/>
        <w:autoSpaceDN w:val="0"/>
        <w:adjustRightInd w:val="0"/>
        <w:snapToGrid w:val="0"/>
        <w:spacing w:line="360" w:lineRule="auto"/>
        <w:ind w:left="752" w:leftChars="171" w:hanging="376" w:hangingChars="171"/>
        <w:rPr>
          <w:rFonts w:ascii="宋体" w:hAnsi="宋体"/>
          <w:szCs w:val="21"/>
          <w:lang w:eastAsia="zh-CN"/>
        </w:rPr>
      </w:pPr>
      <w:r>
        <w:rPr>
          <w:rFonts w:hint="eastAsia" w:ascii="宋体" w:hAnsi="宋体"/>
          <w:szCs w:val="21"/>
          <w:lang w:eastAsia="zh-CN"/>
        </w:rPr>
        <w:t>6）乙方不能泄露本协议约定的保密信息给任何第三方。</w:t>
      </w:r>
    </w:p>
    <w:p>
      <w:pPr>
        <w:widowControl w:val="0"/>
        <w:numPr>
          <w:ilvl w:val="0"/>
          <w:numId w:val="7"/>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承担保密义务的人员范围</w:t>
      </w:r>
    </w:p>
    <w:p>
      <w:pPr>
        <w:autoSpaceDE w:val="0"/>
        <w:autoSpaceDN w:val="0"/>
        <w:adjustRightInd w:val="0"/>
        <w:snapToGrid w:val="0"/>
        <w:spacing w:line="360" w:lineRule="auto"/>
        <w:ind w:left="420"/>
        <w:rPr>
          <w:rFonts w:ascii="宋体" w:hAnsi="宋体"/>
          <w:szCs w:val="21"/>
          <w:lang w:eastAsia="zh-CN"/>
        </w:rPr>
      </w:pPr>
      <w:r>
        <w:rPr>
          <w:rFonts w:hint="eastAsia" w:ascii="宋体" w:hAnsi="宋体"/>
          <w:szCs w:val="21"/>
          <w:lang w:eastAsia="zh-CN"/>
        </w:rPr>
        <w:t>乙方承担保密义务的人员范围包括：为甲方提供代理服务的负责人员，以及其他因工作需要而获悉信息的乙方工作人员。</w:t>
      </w:r>
    </w:p>
    <w:p>
      <w:pPr>
        <w:widowControl w:val="0"/>
        <w:numPr>
          <w:ilvl w:val="0"/>
          <w:numId w:val="7"/>
        </w:numPr>
        <w:autoSpaceDE w:val="0"/>
        <w:autoSpaceDN w:val="0"/>
        <w:adjustRightInd w:val="0"/>
        <w:snapToGrid w:val="0"/>
        <w:spacing w:after="0" w:line="360" w:lineRule="auto"/>
        <w:jc w:val="both"/>
        <w:rPr>
          <w:rFonts w:ascii="宋体" w:hAnsi="宋体"/>
          <w:szCs w:val="21"/>
        </w:rPr>
      </w:pPr>
      <w:r>
        <w:rPr>
          <w:rFonts w:hint="eastAsia" w:ascii="宋体" w:hAnsi="宋体"/>
          <w:szCs w:val="21"/>
        </w:rPr>
        <w:t>保密事项</w:t>
      </w:r>
    </w:p>
    <w:p>
      <w:pPr>
        <w:autoSpaceDE w:val="0"/>
        <w:autoSpaceDN w:val="0"/>
        <w:adjustRightInd w:val="0"/>
        <w:snapToGrid w:val="0"/>
        <w:spacing w:line="360" w:lineRule="auto"/>
        <w:ind w:left="420"/>
        <w:rPr>
          <w:rFonts w:ascii="宋体" w:hAnsi="宋体"/>
          <w:szCs w:val="21"/>
          <w:lang w:eastAsia="zh-CN"/>
        </w:rPr>
      </w:pPr>
      <w:r>
        <w:rPr>
          <w:rFonts w:hint="eastAsia" w:ascii="宋体" w:hAnsi="宋体"/>
          <w:szCs w:val="21"/>
          <w:lang w:eastAsia="zh-CN"/>
        </w:rPr>
        <w:t>除了乙方及乙方指派的工作人员提供代理服务的必需之外，乙方承诺，未经甲方书面同意，不得实施以下行为：</w:t>
      </w:r>
    </w:p>
    <w:p>
      <w:pPr>
        <w:widowControl w:val="0"/>
        <w:numPr>
          <w:ilvl w:val="0"/>
          <w:numId w:val="9"/>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使用甲方的技术秘密、商业秘密和其他秘密信息。</w:t>
      </w:r>
    </w:p>
    <w:p>
      <w:pPr>
        <w:widowControl w:val="0"/>
        <w:numPr>
          <w:ilvl w:val="0"/>
          <w:numId w:val="9"/>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以披露、告知、公布、发表、出版、传授、转让或者其他任何方式使任何第三方获得属于甲方或者属于第三方但甲方对之承诺负有保密义务的技术秘密、商业秘密和其他秘密信息，并在为甲方提供经销代理服务的范围之外使用这些秘密信息。</w:t>
      </w:r>
    </w:p>
    <w:p>
      <w:pPr>
        <w:widowControl w:val="0"/>
        <w:numPr>
          <w:ilvl w:val="0"/>
          <w:numId w:val="7"/>
        </w:numPr>
        <w:autoSpaceDE w:val="0"/>
        <w:autoSpaceDN w:val="0"/>
        <w:adjustRightInd w:val="0"/>
        <w:snapToGrid w:val="0"/>
        <w:spacing w:after="0" w:line="360" w:lineRule="auto"/>
        <w:jc w:val="both"/>
        <w:rPr>
          <w:rFonts w:ascii="宋体" w:hAnsi="宋体"/>
          <w:szCs w:val="21"/>
        </w:rPr>
      </w:pPr>
      <w:r>
        <w:rPr>
          <w:rFonts w:hint="eastAsia" w:ascii="宋体" w:hAnsi="宋体"/>
          <w:szCs w:val="21"/>
        </w:rPr>
        <w:t>保密信息返还</w:t>
      </w:r>
    </w:p>
    <w:p>
      <w:pPr>
        <w:autoSpaceDE w:val="0"/>
        <w:autoSpaceDN w:val="0"/>
        <w:adjustRightInd w:val="0"/>
        <w:snapToGrid w:val="0"/>
        <w:spacing w:line="360" w:lineRule="auto"/>
        <w:ind w:left="420"/>
        <w:rPr>
          <w:rFonts w:ascii="宋体" w:hAnsi="宋体"/>
          <w:szCs w:val="21"/>
          <w:lang w:eastAsia="zh-CN"/>
        </w:rPr>
      </w:pPr>
      <w:r>
        <w:rPr>
          <w:rFonts w:hint="eastAsia" w:ascii="宋体" w:hAnsi="宋体"/>
          <w:szCs w:val="21"/>
          <w:lang w:eastAsia="zh-CN"/>
        </w:rPr>
        <w:t>当甲方以书面形式要求乙方交回保密信息时，乙方应立即归还全部保密信息资料和文件，包含该保密信息资料的媒体及其他任何或全部复印件或摘要。如果该技术资料属于不能归还的形式、或已经复制或转录到其他资料或媒体中，则应删除。</w:t>
      </w:r>
    </w:p>
    <w:p>
      <w:pPr>
        <w:widowControl w:val="0"/>
        <w:numPr>
          <w:ilvl w:val="0"/>
          <w:numId w:val="7"/>
        </w:numPr>
        <w:autoSpaceDE w:val="0"/>
        <w:autoSpaceDN w:val="0"/>
        <w:adjustRightInd w:val="0"/>
        <w:snapToGrid w:val="0"/>
        <w:spacing w:after="0" w:line="360" w:lineRule="auto"/>
        <w:jc w:val="both"/>
        <w:rPr>
          <w:rFonts w:ascii="宋体" w:hAnsi="宋体"/>
          <w:szCs w:val="21"/>
        </w:rPr>
      </w:pPr>
      <w:r>
        <w:rPr>
          <w:rFonts w:hint="eastAsia" w:ascii="宋体" w:hAnsi="宋体"/>
          <w:szCs w:val="21"/>
        </w:rPr>
        <w:t>违约赔偿</w:t>
      </w:r>
    </w:p>
    <w:p>
      <w:pPr>
        <w:autoSpaceDE w:val="0"/>
        <w:autoSpaceDN w:val="0"/>
        <w:adjustRightInd w:val="0"/>
        <w:snapToGrid w:val="0"/>
        <w:spacing w:line="360" w:lineRule="auto"/>
        <w:ind w:left="420"/>
        <w:rPr>
          <w:rFonts w:ascii="宋体" w:hAnsi="宋体"/>
          <w:szCs w:val="21"/>
          <w:lang w:eastAsia="zh-CN"/>
        </w:rPr>
      </w:pPr>
      <w:r>
        <w:rPr>
          <w:rFonts w:hint="eastAsia" w:ascii="宋体" w:hAnsi="宋体"/>
          <w:szCs w:val="21"/>
          <w:lang w:eastAsia="zh-CN"/>
        </w:rPr>
        <w:t>乙方违反本协议约定的保密义务，需向甲方支付人民币10万元违约金；由此给甲方造成损失的，应赔偿造成的一切直接损失和可预见损失。</w:t>
      </w:r>
    </w:p>
    <w:p>
      <w:pPr>
        <w:autoSpaceDE w:val="0"/>
        <w:autoSpaceDN w:val="0"/>
        <w:adjustRightInd w:val="0"/>
        <w:snapToGrid w:val="0"/>
        <w:spacing w:line="360" w:lineRule="auto"/>
        <w:rPr>
          <w:rFonts w:ascii="宋体" w:hAnsi="宋体"/>
          <w:szCs w:val="21"/>
          <w:lang w:eastAsia="zh-CN"/>
        </w:rPr>
      </w:pPr>
    </w:p>
    <w:bookmarkEnd w:id="40"/>
    <w:bookmarkEnd w:id="41"/>
    <w:bookmarkEnd w:id="42"/>
    <w:p>
      <w:pPr>
        <w:autoSpaceDE w:val="0"/>
        <w:autoSpaceDN w:val="0"/>
        <w:adjustRightInd w:val="0"/>
        <w:snapToGrid w:val="0"/>
        <w:spacing w:line="360" w:lineRule="auto"/>
        <w:outlineLvl w:val="0"/>
        <w:rPr>
          <w:rFonts w:ascii="宋体" w:hAnsi="宋体"/>
          <w:b/>
          <w:szCs w:val="21"/>
          <w:lang w:eastAsia="zh-CN"/>
        </w:rPr>
      </w:pPr>
      <w:bookmarkStart w:id="43" w:name="_Toc441666466"/>
      <w:r>
        <w:rPr>
          <w:rFonts w:hint="eastAsia" w:ascii="宋体" w:hAnsi="宋体"/>
          <w:b/>
          <w:szCs w:val="21"/>
          <w:lang w:eastAsia="zh-CN"/>
        </w:rPr>
        <w:t>十</w:t>
      </w:r>
      <w:r>
        <w:rPr>
          <w:rFonts w:ascii="宋体" w:hAnsi="宋体"/>
          <w:b/>
          <w:szCs w:val="21"/>
          <w:lang w:eastAsia="zh-CN"/>
        </w:rPr>
        <w:t xml:space="preserve">. </w:t>
      </w:r>
      <w:r>
        <w:rPr>
          <w:rFonts w:hint="eastAsia" w:ascii="宋体" w:hAnsi="宋体"/>
          <w:b/>
          <w:szCs w:val="21"/>
          <w:lang w:eastAsia="zh-CN"/>
        </w:rPr>
        <w:t>市场违规行为及处罚</w:t>
      </w:r>
      <w:bookmarkEnd w:id="43"/>
    </w:p>
    <w:p>
      <w:pPr>
        <w:autoSpaceDE w:val="0"/>
        <w:autoSpaceDN w:val="0"/>
        <w:adjustRightInd w:val="0"/>
        <w:snapToGrid w:val="0"/>
        <w:spacing w:line="360" w:lineRule="auto"/>
        <w:ind w:left="440" w:leftChars="200"/>
        <w:rPr>
          <w:rFonts w:ascii="宋体" w:hAnsi="宋体"/>
          <w:szCs w:val="21"/>
          <w:lang w:eastAsia="zh-CN"/>
        </w:rPr>
      </w:pPr>
      <w:r>
        <w:rPr>
          <w:rFonts w:hint="eastAsia" w:ascii="宋体" w:hAnsi="宋体"/>
          <w:szCs w:val="21"/>
          <w:lang w:eastAsia="zh-CN"/>
        </w:rPr>
        <w:t>为了规范市场销售秩序，保障厂家和合作伙伴的最大利益，使市场秩序管理制度化、流程化、高效化。乙方应严格遵守甲方制定的《紫光恒越合作伙伴市场秩序管理规定》，一旦出现市场违规行为或有其他扰乱市场秩序的行为发生，乙方应根据《紫光恒越合作伙伴市场秩序管理规定》向甲方支付违约金，对于该等违约金，甲方有权从乙方的货款、返利或其他款项中直接扣除。</w:t>
      </w:r>
    </w:p>
    <w:p>
      <w:pPr>
        <w:autoSpaceDE w:val="0"/>
        <w:autoSpaceDN w:val="0"/>
        <w:adjustRightInd w:val="0"/>
        <w:snapToGrid w:val="0"/>
        <w:spacing w:line="360" w:lineRule="auto"/>
        <w:ind w:left="376" w:hanging="376" w:hangingChars="171"/>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44" w:name="_Toc441666467"/>
      <w:r>
        <w:rPr>
          <w:rFonts w:hint="eastAsia" w:ascii="宋体" w:hAnsi="宋体"/>
          <w:b/>
          <w:szCs w:val="21"/>
          <w:lang w:eastAsia="zh-CN"/>
        </w:rPr>
        <w:t>十一.</w:t>
      </w:r>
      <w:r>
        <w:rPr>
          <w:rFonts w:ascii="宋体" w:hAnsi="宋体"/>
          <w:b/>
          <w:szCs w:val="21"/>
          <w:lang w:eastAsia="zh-CN"/>
        </w:rPr>
        <w:t xml:space="preserve"> </w:t>
      </w:r>
      <w:r>
        <w:rPr>
          <w:rFonts w:hint="eastAsia" w:ascii="宋体" w:hAnsi="宋体"/>
          <w:b/>
          <w:szCs w:val="21"/>
          <w:lang w:eastAsia="zh-CN"/>
        </w:rPr>
        <w:t>不可抗力</w:t>
      </w:r>
      <w:bookmarkEnd w:id="44"/>
      <w:r>
        <w:rPr>
          <w:rFonts w:hint="eastAsia" w:ascii="宋体" w:hAnsi="宋体"/>
          <w:b/>
          <w:szCs w:val="21"/>
          <w:lang w:eastAsia="zh-CN"/>
        </w:rPr>
        <w:t xml:space="preserve"> </w:t>
      </w:r>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 xml:space="preserve">本协议任何一方因超出其合理控制能力的事件而未履行或迟延履行本协议规定的义务，不应承担另一方的损失或被认为构成违约，但并不排除纯粹的金钱支付义务。该些事件包括：民事或军事的政府行为、政府优先权、地震、火灾、水灾、飓风、海啸、疫病、检疫、能源危机、罢工、劳动力问题/争议/停工、原料短缺、战争、暴动、公众动乱、公敌行为、事故、短缺、运输迟延、公用事业故障/中断或任何其他可被合理认为超越迟延履行方控制范围的事项，包括在一般国际商业惯例中被视作不可抗力的事项。若任何一方因遭遇不可抗力而不能履行合同义务，该方应立即将该事项通知另一方。 </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45" w:name="_Toc441666468"/>
      <w:r>
        <w:rPr>
          <w:rFonts w:hint="eastAsia" w:ascii="宋体" w:hAnsi="宋体"/>
          <w:b/>
          <w:szCs w:val="21"/>
          <w:lang w:eastAsia="zh-CN"/>
        </w:rPr>
        <w:t>十二</w:t>
      </w:r>
      <w:r>
        <w:rPr>
          <w:rFonts w:ascii="宋体" w:hAnsi="宋体"/>
          <w:b/>
          <w:szCs w:val="21"/>
          <w:lang w:eastAsia="zh-CN"/>
        </w:rPr>
        <w:t xml:space="preserve">. </w:t>
      </w:r>
      <w:r>
        <w:rPr>
          <w:rFonts w:hint="eastAsia" w:ascii="宋体" w:hAnsi="宋体"/>
          <w:b/>
          <w:szCs w:val="21"/>
          <w:lang w:eastAsia="zh-CN"/>
        </w:rPr>
        <w:t>合作伙伴注册及信息变更</w:t>
      </w:r>
      <w:bookmarkEnd w:id="45"/>
    </w:p>
    <w:p>
      <w:pPr>
        <w:autoSpaceDE w:val="0"/>
        <w:autoSpaceDN w:val="0"/>
        <w:adjustRightInd w:val="0"/>
        <w:snapToGrid w:val="0"/>
        <w:spacing w:line="360" w:lineRule="auto"/>
        <w:ind w:firstLine="440" w:firstLineChars="200"/>
        <w:rPr>
          <w:rFonts w:ascii="宋体" w:hAnsi="宋体"/>
          <w:szCs w:val="21"/>
          <w:lang w:eastAsia="zh-CN"/>
        </w:rPr>
      </w:pPr>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如乙方注册信息发生变更，乙方应及时书面向甲方通报，经甲方同意后提交相关变更信息和甲方所需的文件资料，更新合作伙伴注册信息。</w:t>
      </w:r>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如未得到乙方事先的书面明示同意，甲方不得转让其在本协议下的权利和义务。</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46" w:name="_Toc441666469"/>
      <w:r>
        <w:rPr>
          <w:rFonts w:hint="eastAsia" w:ascii="宋体" w:hAnsi="宋体"/>
          <w:b/>
          <w:szCs w:val="21"/>
          <w:lang w:eastAsia="zh-CN"/>
        </w:rPr>
        <w:t>十三.销售业绩计算规则</w:t>
      </w:r>
      <w:bookmarkEnd w:id="46"/>
    </w:p>
    <w:p>
      <w:pPr>
        <w:autoSpaceDE w:val="0"/>
        <w:autoSpaceDN w:val="0"/>
        <w:adjustRightInd w:val="0"/>
        <w:snapToGrid w:val="0"/>
        <w:spacing w:line="360" w:lineRule="auto"/>
        <w:ind w:firstLine="440" w:firstLineChars="200"/>
        <w:rPr>
          <w:rFonts w:ascii="宋体" w:hAnsi="宋体"/>
          <w:szCs w:val="21"/>
          <w:lang w:eastAsia="zh-CN"/>
        </w:rPr>
      </w:pPr>
      <w:bookmarkStart w:id="47" w:name="_Toc217234129"/>
      <w:r>
        <w:rPr>
          <w:rFonts w:hint="eastAsia" w:ascii="宋体" w:hAnsi="宋体"/>
          <w:szCs w:val="21"/>
          <w:lang w:eastAsia="zh-CN"/>
        </w:rPr>
        <w:t>乙方销售业绩的计算自20</w:t>
      </w:r>
      <w:r>
        <w:rPr>
          <w:rFonts w:ascii="宋体" w:hAnsi="宋体"/>
          <w:szCs w:val="21"/>
          <w:lang w:eastAsia="zh-CN"/>
        </w:rPr>
        <w:t>20</w:t>
      </w:r>
      <w:r>
        <w:rPr>
          <w:rFonts w:hint="eastAsia" w:ascii="宋体" w:hAnsi="宋体"/>
          <w:szCs w:val="21"/>
          <w:lang w:eastAsia="zh-CN"/>
        </w:rPr>
        <w:t>.</w:t>
      </w:r>
      <w:r>
        <w:rPr>
          <w:rFonts w:ascii="宋体" w:hAnsi="宋体"/>
          <w:szCs w:val="21"/>
          <w:lang w:eastAsia="zh-CN"/>
        </w:rPr>
        <w:t>01</w:t>
      </w:r>
      <w:r>
        <w:rPr>
          <w:rFonts w:hint="eastAsia" w:ascii="宋体" w:hAnsi="宋体"/>
          <w:szCs w:val="21"/>
          <w:lang w:eastAsia="zh-CN"/>
        </w:rPr>
        <w:t>.</w:t>
      </w:r>
      <w:r>
        <w:rPr>
          <w:rFonts w:ascii="宋体" w:hAnsi="宋体"/>
          <w:szCs w:val="21"/>
          <w:lang w:eastAsia="zh-CN"/>
        </w:rPr>
        <w:t>01</w:t>
      </w:r>
      <w:r>
        <w:rPr>
          <w:rFonts w:hint="eastAsia" w:ascii="宋体" w:hAnsi="宋体"/>
          <w:szCs w:val="21"/>
          <w:lang w:eastAsia="zh-CN"/>
        </w:rPr>
        <w:t>日起至20</w:t>
      </w:r>
      <w:r>
        <w:rPr>
          <w:rFonts w:ascii="宋体" w:hAnsi="宋体"/>
          <w:szCs w:val="21"/>
          <w:lang w:eastAsia="zh-CN"/>
        </w:rPr>
        <w:t>20</w:t>
      </w:r>
      <w:r>
        <w:rPr>
          <w:rFonts w:hint="eastAsia" w:ascii="宋体" w:hAnsi="宋体"/>
          <w:szCs w:val="21"/>
          <w:lang w:eastAsia="zh-CN"/>
        </w:rPr>
        <w:t>.</w:t>
      </w:r>
      <w:r>
        <w:rPr>
          <w:rFonts w:ascii="宋体" w:hAnsi="宋体"/>
          <w:szCs w:val="21"/>
          <w:lang w:eastAsia="zh-CN"/>
        </w:rPr>
        <w:t>12</w:t>
      </w:r>
      <w:r>
        <w:rPr>
          <w:rFonts w:hint="eastAsia" w:ascii="宋体" w:hAnsi="宋体"/>
          <w:szCs w:val="21"/>
          <w:lang w:eastAsia="zh-CN"/>
        </w:rPr>
        <w:t>.</w:t>
      </w:r>
      <w:r>
        <w:rPr>
          <w:rFonts w:ascii="宋体" w:hAnsi="宋体"/>
          <w:szCs w:val="21"/>
          <w:lang w:eastAsia="zh-CN"/>
        </w:rPr>
        <w:t>31</w:t>
      </w:r>
      <w:r>
        <w:rPr>
          <w:rFonts w:hint="eastAsia" w:ascii="宋体" w:hAnsi="宋体"/>
          <w:szCs w:val="21"/>
          <w:lang w:eastAsia="zh-CN"/>
        </w:rPr>
        <w:t>日止，计量清单以甲方统计的为准，计量金额以甲方的出货开票比例为基准进行计算。</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48" w:name="_Toc441666470"/>
      <w:r>
        <w:rPr>
          <w:rFonts w:hint="eastAsia" w:ascii="宋体" w:hAnsi="宋体"/>
          <w:b/>
          <w:szCs w:val="21"/>
          <w:lang w:eastAsia="zh-CN"/>
        </w:rPr>
        <w:t>十四</w:t>
      </w:r>
      <w:r>
        <w:rPr>
          <w:rFonts w:ascii="宋体" w:hAnsi="宋体"/>
          <w:b/>
          <w:szCs w:val="21"/>
          <w:lang w:eastAsia="zh-CN"/>
        </w:rPr>
        <w:t xml:space="preserve">. </w:t>
      </w:r>
      <w:r>
        <w:rPr>
          <w:rFonts w:hint="eastAsia" w:ascii="宋体" w:hAnsi="宋体"/>
          <w:b/>
          <w:szCs w:val="21"/>
          <w:lang w:eastAsia="zh-CN"/>
        </w:rPr>
        <w:t>协议的终止</w:t>
      </w:r>
      <w:bookmarkEnd w:id="47"/>
      <w:bookmarkEnd w:id="48"/>
    </w:p>
    <w:p>
      <w:pPr>
        <w:autoSpaceDE w:val="0"/>
        <w:autoSpaceDN w:val="0"/>
        <w:adjustRightInd w:val="0"/>
        <w:snapToGrid w:val="0"/>
        <w:spacing w:line="360" w:lineRule="auto"/>
        <w:ind w:firstLine="440" w:firstLineChars="200"/>
        <w:rPr>
          <w:rFonts w:ascii="宋体" w:hAnsi="宋体"/>
          <w:szCs w:val="21"/>
          <w:lang w:eastAsia="zh-CN"/>
        </w:rPr>
      </w:pPr>
      <w:r>
        <w:rPr>
          <w:rFonts w:hint="eastAsia" w:ascii="宋体" w:hAnsi="宋体"/>
          <w:szCs w:val="21"/>
          <w:lang w:eastAsia="zh-CN"/>
        </w:rPr>
        <w:t xml:space="preserve">下列情形一旦出现，符合本协议解除条件，一方以书面形式通知对方后，可以立即终止本协议。 </w:t>
      </w:r>
    </w:p>
    <w:p>
      <w:pPr>
        <w:widowControl w:val="0"/>
        <w:numPr>
          <w:ilvl w:val="0"/>
          <w:numId w:val="10"/>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本协议期满而未续签任何其他协议。</w:t>
      </w:r>
    </w:p>
    <w:p>
      <w:pPr>
        <w:widowControl w:val="0"/>
        <w:numPr>
          <w:ilvl w:val="0"/>
          <w:numId w:val="10"/>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经甲、乙双方一致同意解除本协议。</w:t>
      </w:r>
    </w:p>
    <w:p>
      <w:pPr>
        <w:widowControl w:val="0"/>
        <w:numPr>
          <w:ilvl w:val="0"/>
          <w:numId w:val="10"/>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本协议生效之日起六个月内，乙方若没有任何销售甲方产品的行为，本协议终止。</w:t>
      </w:r>
    </w:p>
    <w:p>
      <w:pPr>
        <w:widowControl w:val="0"/>
        <w:numPr>
          <w:ilvl w:val="0"/>
          <w:numId w:val="10"/>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乙方如果有严重违法违规及违约行为（包括但不限于乙方具有违反《紫光恒越合作伙伴市场秩序管理规定》所述各项行为之一的情形）或因其他因素不能正常经营时，甲方有权将本协议终止。</w:t>
      </w:r>
    </w:p>
    <w:p>
      <w:pPr>
        <w:widowControl w:val="0"/>
        <w:numPr>
          <w:ilvl w:val="0"/>
          <w:numId w:val="10"/>
        </w:numPr>
        <w:autoSpaceDE w:val="0"/>
        <w:autoSpaceDN w:val="0"/>
        <w:adjustRightInd w:val="0"/>
        <w:snapToGrid w:val="0"/>
        <w:spacing w:after="0" w:line="360" w:lineRule="auto"/>
        <w:jc w:val="both"/>
        <w:rPr>
          <w:rFonts w:ascii="宋体" w:hAnsi="宋体"/>
          <w:szCs w:val="21"/>
          <w:lang w:eastAsia="zh-CN"/>
        </w:rPr>
      </w:pPr>
      <w:r>
        <w:rPr>
          <w:rFonts w:hint="eastAsia" w:ascii="宋体" w:hAnsi="宋体"/>
          <w:szCs w:val="21"/>
          <w:lang w:eastAsia="zh-CN"/>
        </w:rPr>
        <w:t>出现不可抗力因素（如战争、大自然灾害等）致使本协议不能执行，可以终止本协议。但提出终止本协议一方须在不可抗力发生后</w:t>
      </w:r>
      <w:r>
        <w:rPr>
          <w:rFonts w:ascii="宋体" w:hAnsi="宋体"/>
          <w:szCs w:val="21"/>
          <w:lang w:eastAsia="zh-CN"/>
        </w:rPr>
        <w:t>15</w:t>
      </w:r>
      <w:r>
        <w:rPr>
          <w:rFonts w:hint="eastAsia" w:ascii="宋体" w:hAnsi="宋体"/>
          <w:szCs w:val="21"/>
          <w:lang w:eastAsia="zh-CN"/>
        </w:rPr>
        <w:t>日内向对方提交相关证明文件。</w:t>
      </w:r>
    </w:p>
    <w:p>
      <w:pPr>
        <w:autoSpaceDE w:val="0"/>
        <w:autoSpaceDN w:val="0"/>
        <w:adjustRightInd w:val="0"/>
        <w:snapToGrid w:val="0"/>
        <w:spacing w:line="360" w:lineRule="auto"/>
        <w:ind w:firstLine="330" w:firstLineChars="150"/>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49" w:name="_Toc441666471"/>
      <w:r>
        <w:rPr>
          <w:rFonts w:hint="eastAsia" w:ascii="宋体" w:hAnsi="宋体"/>
          <w:b/>
          <w:szCs w:val="21"/>
          <w:lang w:eastAsia="zh-CN"/>
        </w:rPr>
        <w:t>十五</w:t>
      </w:r>
      <w:r>
        <w:rPr>
          <w:rFonts w:ascii="宋体" w:hAnsi="宋体"/>
          <w:b/>
          <w:szCs w:val="21"/>
          <w:lang w:eastAsia="zh-CN"/>
        </w:rPr>
        <w:t xml:space="preserve">. </w:t>
      </w:r>
      <w:r>
        <w:rPr>
          <w:rFonts w:hint="eastAsia" w:ascii="宋体" w:hAnsi="宋体"/>
          <w:b/>
          <w:szCs w:val="21"/>
          <w:lang w:eastAsia="zh-CN"/>
        </w:rPr>
        <w:t>协议期满或终止后的权利和义务</w:t>
      </w:r>
      <w:bookmarkEnd w:id="49"/>
      <w:r>
        <w:rPr>
          <w:rFonts w:ascii="宋体" w:hAnsi="宋体"/>
          <w:b/>
          <w:szCs w:val="21"/>
          <w:lang w:eastAsia="zh-CN"/>
        </w:rPr>
        <w:t xml:space="preserve"> </w:t>
      </w:r>
    </w:p>
    <w:p>
      <w:pPr>
        <w:autoSpaceDE w:val="0"/>
        <w:autoSpaceDN w:val="0"/>
        <w:adjustRightInd w:val="0"/>
        <w:snapToGrid w:val="0"/>
        <w:spacing w:line="360" w:lineRule="auto"/>
        <w:ind w:left="440" w:leftChars="200"/>
        <w:rPr>
          <w:rFonts w:ascii="宋体" w:hAnsi="宋体"/>
          <w:szCs w:val="21"/>
          <w:lang w:eastAsia="zh-CN"/>
        </w:rPr>
      </w:pPr>
      <w:r>
        <w:rPr>
          <w:rFonts w:hint="eastAsia" w:ascii="宋体" w:hAnsi="宋体"/>
          <w:szCs w:val="21"/>
          <w:lang w:eastAsia="zh-CN"/>
        </w:rPr>
        <w:t>本协议终止后，乙方将：</w:t>
      </w:r>
    </w:p>
    <w:p>
      <w:pPr>
        <w:widowControl w:val="0"/>
        <w:numPr>
          <w:ilvl w:val="0"/>
          <w:numId w:val="11"/>
        </w:numPr>
        <w:autoSpaceDE w:val="0"/>
        <w:autoSpaceDN w:val="0"/>
        <w:adjustRightInd w:val="0"/>
        <w:spacing w:after="0" w:line="360" w:lineRule="auto"/>
        <w:rPr>
          <w:rFonts w:ascii="宋体" w:hAnsi="宋体"/>
          <w:szCs w:val="21"/>
          <w:lang w:eastAsia="zh-CN"/>
        </w:rPr>
      </w:pPr>
      <w:r>
        <w:rPr>
          <w:rFonts w:hint="eastAsia" w:ascii="宋体" w:hAnsi="宋体"/>
          <w:szCs w:val="21"/>
          <w:lang w:eastAsia="zh-CN"/>
        </w:rPr>
        <w:t>立刻停止使用甲方向乙方提供的所有资料、保密信息和甲方知识产权（包括但不限于所有的产品目录、图纸、设计、工程照片、样品、文献、销售资助、演示设备、其他促销资料、产品服务和保证记录），并将上述所有的物品归还至甲方指定的地点。</w:t>
      </w:r>
    </w:p>
    <w:p>
      <w:pPr>
        <w:widowControl w:val="0"/>
        <w:numPr>
          <w:ilvl w:val="0"/>
          <w:numId w:val="11"/>
        </w:numPr>
        <w:autoSpaceDE w:val="0"/>
        <w:autoSpaceDN w:val="0"/>
        <w:adjustRightInd w:val="0"/>
        <w:spacing w:after="0" w:line="360" w:lineRule="auto"/>
        <w:rPr>
          <w:rFonts w:ascii="宋体" w:hAnsi="宋体"/>
          <w:szCs w:val="21"/>
          <w:lang w:eastAsia="zh-CN"/>
        </w:rPr>
      </w:pPr>
      <w:r>
        <w:rPr>
          <w:rFonts w:hint="eastAsia" w:ascii="宋体" w:hAnsi="宋体"/>
          <w:szCs w:val="21"/>
          <w:lang w:eastAsia="zh-CN"/>
        </w:rPr>
        <w:t>不得再以甲方合作伙伴名义从事任何活动，不得使用甲方的所有商标及商号，或与甲方的商标或商号相似的而有可能引起混淆的任何名称。</w:t>
      </w:r>
    </w:p>
    <w:p>
      <w:pPr>
        <w:widowControl w:val="0"/>
        <w:numPr>
          <w:ilvl w:val="0"/>
          <w:numId w:val="11"/>
        </w:numPr>
        <w:autoSpaceDE w:val="0"/>
        <w:autoSpaceDN w:val="0"/>
        <w:adjustRightInd w:val="0"/>
        <w:spacing w:after="0" w:line="360" w:lineRule="auto"/>
        <w:rPr>
          <w:rFonts w:ascii="宋体" w:hAnsi="宋体"/>
          <w:szCs w:val="21"/>
          <w:lang w:eastAsia="zh-CN"/>
        </w:rPr>
      </w:pPr>
      <w:r>
        <w:rPr>
          <w:rFonts w:hint="eastAsia" w:ascii="宋体" w:hAnsi="宋体"/>
          <w:szCs w:val="21"/>
          <w:lang w:eastAsia="zh-CN"/>
        </w:rPr>
        <w:t>在本协议终止后15日内，结清与甲方的所有的资金、物资和往来帐务。</w:t>
      </w:r>
    </w:p>
    <w:p>
      <w:pPr>
        <w:autoSpaceDE w:val="0"/>
        <w:autoSpaceDN w:val="0"/>
        <w:adjustRightInd w:val="0"/>
        <w:spacing w:line="360" w:lineRule="auto"/>
        <w:ind w:left="420"/>
        <w:rPr>
          <w:rFonts w:ascii="宋体" w:hAnsi="宋体"/>
          <w:szCs w:val="21"/>
          <w:lang w:eastAsia="zh-CN"/>
        </w:rPr>
      </w:pPr>
      <w:r>
        <w:rPr>
          <w:rFonts w:hint="eastAsia" w:ascii="宋体" w:hAnsi="宋体"/>
          <w:szCs w:val="21"/>
          <w:lang w:eastAsia="zh-CN"/>
        </w:rPr>
        <w:t>本协议的条款、陈述和保证，若从其意义和上下文看，将在终止后仍然有效（包括但不限于关于权利保持、保密、知识产权、出口管制、合乎商业道德的行为及合法、赔偿和责任限制，以及甲方对双方合作项目文件资料的调取和查看），则在履行完毕、本协议不续订、期满或终止后仍然有效。</w:t>
      </w:r>
    </w:p>
    <w:p>
      <w:pPr>
        <w:autoSpaceDE w:val="0"/>
        <w:autoSpaceDN w:val="0"/>
        <w:adjustRightInd w:val="0"/>
        <w:snapToGrid w:val="0"/>
        <w:spacing w:line="360" w:lineRule="auto"/>
        <w:ind w:firstLine="330" w:firstLineChars="150"/>
        <w:rPr>
          <w:rFonts w:ascii="宋体" w:hAnsi="宋体"/>
          <w:szCs w:val="21"/>
          <w:lang w:eastAsia="zh-CN"/>
        </w:rPr>
      </w:pPr>
    </w:p>
    <w:p>
      <w:pPr>
        <w:autoSpaceDE w:val="0"/>
        <w:autoSpaceDN w:val="0"/>
        <w:adjustRightInd w:val="0"/>
        <w:snapToGrid w:val="0"/>
        <w:spacing w:line="360" w:lineRule="auto"/>
        <w:outlineLvl w:val="0"/>
        <w:rPr>
          <w:rFonts w:ascii="宋体" w:hAnsi="宋体"/>
          <w:b/>
          <w:szCs w:val="21"/>
          <w:lang w:eastAsia="zh-CN"/>
        </w:rPr>
      </w:pPr>
      <w:bookmarkStart w:id="50" w:name="_Toc441666472"/>
      <w:r>
        <w:rPr>
          <w:rFonts w:hint="eastAsia" w:ascii="宋体" w:hAnsi="宋体"/>
          <w:b/>
          <w:szCs w:val="21"/>
          <w:lang w:eastAsia="zh-CN"/>
        </w:rPr>
        <w:t>十六</w:t>
      </w:r>
      <w:r>
        <w:rPr>
          <w:rFonts w:ascii="宋体" w:hAnsi="宋体"/>
          <w:b/>
          <w:szCs w:val="21"/>
          <w:lang w:eastAsia="zh-CN"/>
        </w:rPr>
        <w:t xml:space="preserve">. </w:t>
      </w:r>
      <w:r>
        <w:rPr>
          <w:rFonts w:hint="eastAsia" w:ascii="宋体" w:hAnsi="宋体"/>
          <w:b/>
          <w:szCs w:val="21"/>
          <w:lang w:eastAsia="zh-CN"/>
        </w:rPr>
        <w:t>争议的解决</w:t>
      </w:r>
      <w:bookmarkEnd w:id="50"/>
    </w:p>
    <w:p>
      <w:pPr>
        <w:autoSpaceDE w:val="0"/>
        <w:autoSpaceDN w:val="0"/>
        <w:adjustRightInd w:val="0"/>
        <w:snapToGrid w:val="0"/>
        <w:spacing w:line="360" w:lineRule="auto"/>
        <w:ind w:firstLine="565" w:firstLineChars="257"/>
        <w:rPr>
          <w:rFonts w:ascii="宋体" w:hAnsi="宋体"/>
          <w:szCs w:val="21"/>
          <w:lang w:eastAsia="zh-CN"/>
        </w:rPr>
      </w:pPr>
      <w:r>
        <w:rPr>
          <w:rFonts w:hint="eastAsia" w:ascii="宋体" w:hAnsi="宋体"/>
          <w:szCs w:val="21"/>
          <w:lang w:eastAsia="zh-CN"/>
        </w:rPr>
        <w:t>因履行本协议产生的一切争议由双方友好协商解决。如协商不成，任何一方均可提交本合同签订地人民法院北京市海淀区人民法院管辖解决。</w:t>
      </w: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rPr>
          <w:rFonts w:ascii="宋体" w:hAnsi="宋体"/>
          <w:szCs w:val="21"/>
          <w:lang w:eastAsia="zh-CN"/>
        </w:rPr>
      </w:pPr>
    </w:p>
    <w:p>
      <w:pPr>
        <w:autoSpaceDE w:val="0"/>
        <w:autoSpaceDN w:val="0"/>
        <w:adjustRightInd w:val="0"/>
        <w:snapToGrid w:val="0"/>
        <w:spacing w:line="360" w:lineRule="auto"/>
        <w:rPr>
          <w:rFonts w:ascii="宋体" w:hAnsi="宋体"/>
          <w:szCs w:val="21"/>
          <w:u w:val="single"/>
          <w:lang w:eastAsia="zh-CN"/>
        </w:rPr>
      </w:pPr>
      <w:r>
        <w:rPr>
          <w:rFonts w:hint="eastAsia" w:ascii="宋体" w:hAnsi="宋体"/>
          <w:szCs w:val="21"/>
          <w:lang w:eastAsia="zh-CN"/>
        </w:rPr>
        <w:t xml:space="preserve">甲方：紫光恒越技术有限公司 </w:t>
      </w:r>
      <w:r>
        <w:rPr>
          <w:rFonts w:ascii="宋体" w:hAnsi="宋体"/>
          <w:szCs w:val="21"/>
          <w:lang w:eastAsia="zh-CN"/>
        </w:rPr>
        <w:t xml:space="preserve">                 </w:t>
      </w:r>
      <w:r>
        <w:rPr>
          <w:rFonts w:hint="eastAsia" w:ascii="宋体" w:hAnsi="宋体"/>
          <w:szCs w:val="21"/>
          <w:lang w:eastAsia="zh-CN"/>
        </w:rPr>
        <w:t xml:space="preserve"> </w:t>
      </w:r>
      <w:r>
        <w:rPr>
          <w:rFonts w:ascii="宋体" w:hAnsi="宋体"/>
          <w:szCs w:val="21"/>
          <w:lang w:eastAsia="zh-CN"/>
        </w:rPr>
        <w:t xml:space="preserve">   </w:t>
      </w:r>
      <w:r>
        <w:rPr>
          <w:rFonts w:hint="eastAsia" w:ascii="宋体" w:hAnsi="宋体"/>
          <w:szCs w:val="21"/>
          <w:lang w:eastAsia="zh-CN"/>
        </w:rPr>
        <w:t xml:space="preserve">乙方：    </w:t>
      </w:r>
      <w:r>
        <w:rPr>
          <w:rFonts w:hint="eastAsia" w:ascii="宋体" w:hAnsi="宋体"/>
          <w:szCs w:val="21"/>
          <w:u w:val="single"/>
          <w:lang w:eastAsia="zh-CN"/>
        </w:rPr>
        <w:t xml:space="preserve">              </w:t>
      </w:r>
    </w:p>
    <w:p>
      <w:pPr>
        <w:autoSpaceDE w:val="0"/>
        <w:autoSpaceDN w:val="0"/>
        <w:adjustRightInd w:val="0"/>
        <w:snapToGrid w:val="0"/>
        <w:spacing w:line="360" w:lineRule="auto"/>
        <w:rPr>
          <w:rFonts w:ascii="宋体" w:hAnsi="宋体"/>
          <w:szCs w:val="21"/>
          <w:u w:val="single"/>
          <w:lang w:eastAsia="zh-CN"/>
        </w:rPr>
      </w:pPr>
    </w:p>
    <w:p>
      <w:pPr>
        <w:autoSpaceDE w:val="0"/>
        <w:autoSpaceDN w:val="0"/>
        <w:adjustRightInd w:val="0"/>
        <w:snapToGrid w:val="0"/>
        <w:spacing w:line="360" w:lineRule="auto"/>
        <w:rPr>
          <w:rFonts w:ascii="宋体" w:hAnsi="宋体"/>
          <w:szCs w:val="21"/>
          <w:lang w:eastAsia="zh-CN"/>
        </w:rPr>
      </w:pPr>
      <w:r>
        <w:rPr>
          <w:rFonts w:hint="eastAsia" w:ascii="宋体" w:hAnsi="宋体"/>
          <w:szCs w:val="21"/>
          <w:lang w:eastAsia="zh-CN"/>
        </w:rPr>
        <w:t>盖章：                                               盖章：</w:t>
      </w:r>
    </w:p>
    <w:p>
      <w:pPr>
        <w:autoSpaceDE w:val="0"/>
        <w:autoSpaceDN w:val="0"/>
        <w:adjustRightInd w:val="0"/>
        <w:snapToGrid w:val="0"/>
        <w:spacing w:line="360" w:lineRule="auto"/>
        <w:rPr>
          <w:rFonts w:ascii="宋体" w:hAnsi="宋体"/>
          <w:szCs w:val="21"/>
          <w:lang w:eastAsia="zh-CN"/>
        </w:rPr>
      </w:pPr>
    </w:p>
    <w:p>
      <w:pPr>
        <w:rPr>
          <w:lang w:eastAsia="zh-CN"/>
        </w:rPr>
      </w:pPr>
    </w:p>
    <w:sectPr>
      <w:headerReference r:id="rId5" w:type="default"/>
      <w:footerReference r:id="rId6" w:type="default"/>
      <w:pgSz w:w="11906" w:h="16838"/>
      <w:pgMar w:top="1440" w:right="1080" w:bottom="1440" w:left="1080" w:header="851" w:footer="595"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old">
    <w:altName w:val="Arial"/>
    <w:panose1 w:val="020B0704020202020204"/>
    <w:charset w:val="00"/>
    <w:family w:val="auto"/>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8306"/>
      </w:tabs>
      <w:ind w:firstLine="629" w:firstLineChars="348"/>
      <w:rPr>
        <w:rFonts w:ascii="微软雅黑" w:hAnsi="微软雅黑" w:eastAsia="微软雅黑"/>
        <w:sz w:val="13"/>
        <w:szCs w:val="13"/>
        <w:lang w:eastAsia="zh-CN"/>
      </w:rPr>
    </w:pPr>
    <w:r>
      <w:rPr>
        <w:b/>
        <w:bCs/>
        <w:lang w:eastAsia="zh-CN"/>
      </w:rPr>
      <mc:AlternateContent>
        <mc:Choice Requires="wpc">
          <w:drawing>
            <wp:anchor distT="0" distB="0" distL="114300" distR="114300" simplePos="0" relativeHeight="251824128" behindDoc="1" locked="0" layoutInCell="1" allowOverlap="1">
              <wp:simplePos x="0" y="0"/>
              <wp:positionH relativeFrom="page">
                <wp:posOffset>508000</wp:posOffset>
              </wp:positionH>
              <wp:positionV relativeFrom="paragraph">
                <wp:posOffset>-19050</wp:posOffset>
              </wp:positionV>
              <wp:extent cx="6597650" cy="163195"/>
              <wp:effectExtent l="0" t="0" r="1270" b="4445"/>
              <wp:wrapNone/>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23886"/>
                      </a:solidFill>
                    </wpc:bg>
                    <wpc:whole>
                      <a:ln>
                        <a:noFill/>
                      </a:ln>
                    </wpc:whole>
                    <wps:wsp>
                      <wps:cNvPr id="8" name="Rectangle 4"/>
                      <wps:cNvSpPr>
                        <a:spLocks noChangeArrowheads="1"/>
                      </wps:cNvSpPr>
                      <wps:spPr bwMode="auto">
                        <a:xfrm>
                          <a:off x="2" y="2154"/>
                          <a:ext cx="6597648" cy="161041"/>
                        </a:xfrm>
                        <a:prstGeom prst="rect">
                          <a:avLst/>
                        </a:prstGeom>
                        <a:solidFill>
                          <a:srgbClr val="D9D9D9"/>
                        </a:solidFill>
                        <a:ln>
                          <a:noFill/>
                        </a:ln>
                      </wps:spPr>
                      <wps:txbx>
                        <w:txbxContent>
                          <w:p>
                            <w:pPr>
                              <w:ind w:left="297" w:leftChars="135"/>
                              <w:jc w:val="center"/>
                              <w:rPr>
                                <w:color w:val="404040" w:themeColor="text1" w:themeTint="BF"/>
                                <w:sz w:val="24"/>
                                <w14:textFill>
                                  <w14:solidFill>
                                    <w14:schemeClr w14:val="tx1">
                                      <w14:lumMod w14:val="75000"/>
                                      <w14:lumOff w14:val="25000"/>
                                    </w14:schemeClr>
                                  </w14:solidFill>
                                </w14:textFill>
                              </w:rPr>
                            </w:pPr>
                            <w:r>
                              <w:rPr>
                                <w:color w:val="404040" w:themeColor="text1" w:themeTint="BF"/>
                                <w:sz w:val="24"/>
                                <w14:textFill>
                                  <w14:solidFill>
                                    <w14:schemeClr w14:val="tx1">
                                      <w14:lumMod w14:val="75000"/>
                                      <w14:lumOff w14:val="25000"/>
                                    </w14:schemeClr>
                                  </w14:solidFill>
                                </w14:textFill>
                              </w:rPr>
                              <w:t xml:space="preserve">                                                 </w:t>
                            </w:r>
                          </w:p>
                        </w:txbxContent>
                      </wps:txbx>
                      <wps:bodyPr rot="0" vert="horz" wrap="square" lIns="38744" tIns="19373" rIns="38744" bIns="19373" anchor="ctr" anchorCtr="0" upright="1">
                        <a:noAutofit/>
                      </wps:bodyPr>
                    </wps:wsp>
                    <wps:wsp>
                      <wps:cNvPr id="9" name="Rectangle 5"/>
                      <wps:cNvSpPr>
                        <a:spLocks noChangeArrowheads="1"/>
                      </wps:cNvSpPr>
                      <wps:spPr bwMode="auto">
                        <a:xfrm>
                          <a:off x="5037" y="1349"/>
                          <a:ext cx="162658" cy="161041"/>
                        </a:xfrm>
                        <a:prstGeom prst="rect">
                          <a:avLst/>
                        </a:prstGeom>
                        <a:solidFill>
                          <a:srgbClr val="7F1083"/>
                        </a:solidFill>
                        <a:ln>
                          <a:noFill/>
                        </a:ln>
                      </wps:spPr>
                      <wps:bodyPr rot="0" vert="horz" wrap="square" lIns="38744" tIns="19373" rIns="38744" bIns="19373" anchor="t" anchorCtr="0" upright="1">
                        <a:noAutofit/>
                      </wps:bodyPr>
                    </wps:wsp>
                    <wps:wsp>
                      <wps:cNvPr id="12" name="Rectangle 5"/>
                      <wps:cNvSpPr>
                        <a:spLocks noChangeArrowheads="1"/>
                      </wps:cNvSpPr>
                      <wps:spPr bwMode="auto">
                        <a:xfrm>
                          <a:off x="165100" y="1270"/>
                          <a:ext cx="162560" cy="161290"/>
                        </a:xfrm>
                        <a:prstGeom prst="rect">
                          <a:avLst/>
                        </a:prstGeom>
                        <a:solidFill>
                          <a:srgbClr val="023886"/>
                        </a:solidFill>
                        <a:ln>
                          <a:noFill/>
                        </a:ln>
                      </wps:spPr>
                      <wps:bodyPr rot="0" vert="horz" wrap="square" lIns="38744" tIns="19373" rIns="38744" bIns="19373" anchor="t" anchorCtr="0" upright="1">
                        <a:noAutofit/>
                      </wps:bodyPr>
                    </wps:wsp>
                  </wpc:wpc>
                </a:graphicData>
              </a:graphic>
            </wp:anchor>
          </w:drawing>
        </mc:Choice>
        <mc:Fallback>
          <w:pict>
            <v:group id="_x0000_s1026" o:spid="_x0000_s1026" o:spt="203" style="position:absolute;left:0pt;margin-left:40pt;margin-top:-1.5pt;height:12.85pt;width:519.5pt;mso-position-horizontal-relative:page;z-index:-251492352;mso-width-relative:page;mso-height-relative:page;" coordsize="6597650,163195" editas="canvas" o:gfxdata="UEsDBAoAAAAAAIdO4kAAAAAAAAAAAAAAAAAEAAAAZHJzL1BLAwQUAAAACACHTuJAbm3yJtkAAAAJ&#10;AQAADwAAAGRycy9kb3ducmV2LnhtbE2PT0vDQBDF74LfYRnBi7S7iaI1ZtKDIIKIxbSHHLfZyR+a&#10;nQ3ZbVq/vduTnmaG93jze/n6bAcx0+R7xwjJUoEgrp3puUXYbd8WKxA+aDZ6cEwIP+RhXVxf5Toz&#10;7sTfNJehFTGEfaYRuhDGTEpfd2S1X7qROGqNm6wO8ZxaaSZ9iuF2kKlSj9LqnuOHTo/02lF9KI8W&#10;gWkMu4/qq2o274e7T1nND9uyQby9SdQLiEDn8GeGC35EhyIy7d2RjRcDwkrFKgFhcR/nRU+S57jt&#10;EdL0CWSRy/8Nil9QSwMEFAAAAAgAh07iQPK3LYLcAgAAvQkAAA4AAABkcnMvZTJvRG9jLnhtbN1W&#10;XW7UMBB+R+IOlt9p4mST3Y2araqWVkgFKgoH8DrOj0hsY3s3W165AodB4jyIazB29q9biYdWrQRa&#10;KZuxx+NvPn8z8fHJqmvRkmvTSJFjchRixAWTRSOqHH/6ePFqgpGxVBS0lYLn+JYbfDJ7+eK4VxmP&#10;ZC3bgmsEQYTJepXj2lqVBYFhNe+oOZKKC5gspe6oBVNXQaFpD9G7NojCMA16qQulJePGwOj5MIln&#10;Pn5Zcmbfl6XhFrU5BmzWP7V/zt0zmB3TrNJU1Q1bw6APQNHRRsCm21Dn1FK00M29UF3DtDSytEdM&#10;doEsy4ZxnwNkQ8KDbC61XCifS5X1ldrSBNQe8PTgsOzd8lqjpsjxGCNBOzii399//vrxDY0dN72q&#10;MnC51OpGXev1QDVYLt1VqTv3D4mglWf1dssqX1nEYDBNpuM0AfIZzJE0JtNkoJ3VcDb3lrH69d8X&#10;BpttA4duC6ZXoCCzI8k8jqSbmiruuTeOgTVJoOaBpA+gLCqqlqPRwJP3ciQ5Ooy6kuyzQUKe1eDF&#10;T7WWfc1pAaCI8wfoewucYWApmvdvZQFHQBdWejkd8BthBBxGJPGb0uwOxSMAN1BMwtGwy4Ypmilt&#10;7CWXHXIvOdYA329Al1fGOkA7F5+AbJviomlbb+hqftZqtKRQROdT9/M5QJ77bq1wzkK6ZUNEN+Iz&#10;dck5MZnMruYrLyOTzWVxCzlrORQlNBF4qaX+ilEPBZlj82VBNceofSOAt3gyHo2ggr1BpvE4xkjv&#10;z8z3Z6hgECrHzGqMBuPMDnW/ULqpatiLeAaEPAW2y8az4CAOuNbIQVED8CeX1vS+tHyd3FHK00kr&#10;CWPoAK5C45E/3p26SBqlybOIa3xBwkn8YHE9i6LsP6InAs3isFc9p6BImpAQur6TVDRef2k3DQsk&#10;laTbTwKJpn5+29l3zejR/SqM4skk/e8l5b+FcEfwnXx9n3GXkH3bt7TdrWv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5t8ibZAAAACQEAAA8AAAAAAAAAAQAgAAAAIgAAAGRycy9kb3ducmV2Lnht&#10;bFBLAQIUABQAAAAIAIdO4kDyty2C3AIAAL0JAAAOAAAAAAAAAAEAIAAAACgBAABkcnMvZTJvRG9j&#10;LnhtbFBLBQYAAAAABgAGAFkBAAB2BgAAAAA=&#10;">
              <o:lock v:ext="edit" aspectratio="f"/>
              <v:shape id="_x0000_s1026" o:spid="_x0000_s1026" style="position:absolute;left:0;top:0;height:163195;width:6597650;" fillcolor="#023886" filled="t" stroked="f" coordsize="21600,21600" o:gfxdata="UEsDBAoAAAAAAIdO4kAAAAAAAAAAAAAAAAAEAAAAZHJzL1BLAwQUAAAACACHTuJAbm3yJtkAAAAJ&#10;AQAADwAAAGRycy9kb3ducmV2LnhtbE2PT0vDQBDF74LfYRnBi7S7iaI1ZtKDIIKIxbSHHLfZyR+a&#10;nQ3ZbVq/vduTnmaG93jze/n6bAcx0+R7xwjJUoEgrp3puUXYbd8WKxA+aDZ6cEwIP+RhXVxf5Toz&#10;7sTfNJehFTGEfaYRuhDGTEpfd2S1X7qROGqNm6wO8ZxaaSZ9iuF2kKlSj9LqnuOHTo/02lF9KI8W&#10;gWkMu4/qq2o274e7T1nND9uyQby9SdQLiEDn8GeGC35EhyIy7d2RjRcDwkrFKgFhcR/nRU+S57jt&#10;EdL0CWSRy/8Nil9QSwMEFAAAAAgAh07iQNtPQpGdAgAAZQkAAA4AAABkcnMvZTJvRG9jLnhtbNVW&#10;bWvbMBD+Pth/EPq+2rJjJzFxSknoGHRrWbcfIMvyC7MlTVLidL9+JznpKx2j6wIloOh8p3t9dKfF&#10;6a7v0JZr00qRY3ISYsQFk2Ur6hx//3b+YYaRsVSUtJOC5/iGG3y6fP9uMaiMR7KRXck1AiXCZIPK&#10;cWOtyoLAsIb31JxIxQUwK6l7aoHUdVBqOoD2vguiMEyDQepSacm4MfB1PTLx0uuvKs7sZVUZblGX&#10;Y/DN+lX7tXBrsFzQrNZUNS3bu0Ff4EVPWwFGb1WtqaVoo9snqvqWaWlkZU+Y7ANZVS3jPgaIhoSP&#10;ollRsaXGB8MgOwcHYfeKeova+W1k15bnbdd5QtfFqtNoS13Wong2S12iggdiAbiRucPuf4BCcne0&#10;E24V0qkaj7gvXnYvMyiotFG3NTf/Fst1QxX3KTIZ+7K90qgtcwyoE7QHvH0FBFBRdxxNXAjOOEhd&#10;qyvtA1UXkv0wSMhVA1L8TGs5NJyW4BTxIT844AgDR1ExfJYlaKcbK33Zd5XunUIoKNrlOMLoBlaS&#10;eKM04zuLGHxPk/k0nYBzDNgkJeFktEKzgwKljf3IZY/cJsca3PcG6PbC2DGhBxEfwLNlW8/d72nZ&#10;/lCiMbgxSXZX7Pb5KmR5AzFrOV4euOywaaT+hdEAFyfH5ueGao5R90lA3uLZdDKBm+YJMo+nMUb6&#10;Pqe4z6GCgaocM6sxGomVHe/nRum2bsAW8RkQ8gyyXbU+C64So18eXB5Ro+P/HVrzp9BKjgitJIyn&#10;Hl0knvjy3qGLpFGaHAVc03MSzuIXg+soiLJvBE8EmsXjXnVMQJE0ISGMRteRoul+Ih4aFkAqSYG5&#10;71fR3PNhELx6v3puzPxlv3orkBonoWJ+mu7fHe6xcJ/2Le3udbT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G5t8ibZAAAACQEAAA8AAAAAAAAAAQAgAAAAIgAAAGRycy9kb3ducmV2LnhtbFBLAQIU&#10;ABQAAAAIAIdO4kDbT0KRnQIAAGUJAAAOAAAAAAAAAAEAIAAAACgBAABkcnMvZTJvRG9jLnhtbFBL&#10;BQYAAAAABgAGAFkBAAA3BgAAAAA=&#10;">
                <v:fill on="t" focussize="0,0"/>
                <v:stroke on="f"/>
                <v:imagedata o:title=""/>
                <o:lock v:ext="edit" aspectratio="t"/>
              </v:shape>
              <v:rect id="Rectangle 4" o:spid="_x0000_s1026" o:spt="1" style="position:absolute;left:2;top:2154;height:161041;width:6597648;v-text-anchor:middle;" fillcolor="#D9D9D9" filled="t" stroked="f" coordsize="21600,21600" o:gfxdata="UEsDBAoAAAAAAIdO4kAAAAAAAAAAAAAAAAAEAAAAZHJzL1BLAwQUAAAACACHTuJAfwh5ydgAAAAJ&#10;AQAADwAAAGRycy9kb3ducmV2LnhtbE2PQU/DMAyF70j8h8hI3LakRbCtNJ2gGhyZNjiwW9aatiJx&#10;qiZrx7/HO8HJtt7T8/fy9dlZMeIQOk8akrkCgVT5uqNGw8f7y2wJIkRDtbGeUMMPBlgX11e5yWo/&#10;0Q7HfWwEh1DIjIY2xj6TMlQtOhPmvkdi7csPzkQ+h0bWg5k43FmZKvUgnemIP7Smx7LF6nt/chrC&#10;k3Vv28Nmt5g+X8Pz2JQbui+1vr1J1COIiOf4Z4YLPqNDwUxHf6I6CKthqbhK1DC743nRk2TF21FD&#10;mi5AFrn836D4BVBLAwQUAAAACACHTuJAB/1puwUCAADrAwAADgAAAGRycy9lMm9Eb2MueG1srVNh&#10;b9MwEP2OxH+w/J2mabtujZpOU6shpMEmBj/AcZzEwvGZs9u0/HrOTjcKfEMokpXznd+993xe3x57&#10;ww4KvQZb8nwy5UxZCbW2bcm/frl/d8OZD8LWwoBVJT8pz283b9+sB1eoGXRgaoWMQKwvBlfyLgRX&#10;ZJmXneqFn4BTlpINYC8ChdhmNYqB0HuTzabTZTYA1g5BKu9pdzcm+SbhN42S4bFpvArMlJy4hbRi&#10;Wqu4Zpu1KFoUrtPyTEP8A4teaEtNX6F2Igi2R/0XVK8lgocmTCT0GTSNlippIDX59A81z51wKmkh&#10;c7x7tcn/P1j56fCETNclp4uyoqcr+kymCdsaxRbRnsH5gqqe3RNGgd49gPzmmYVtR1XqDhGGToma&#10;SOWxPvvtQAw8HWXV8BFqQhf7AMmpY4N9BCQP2LHkM85OtOZXqako1DEwSfvLq9X1ckHkJKXzZT5d&#10;jF1E8QLg0If3CnoWf0qORD81EIcHHyIhUbyUJAFgdH2vjUkBttXWIDsImo/dKn5JA+m8LDM2FluI&#10;x0bEuJOURnGjSeFYHc9+VVCfSDPCOG/0PuinA/zB2UCzVnL/fS9QcWY+WPJtfnO9WNBwpiBfza/n&#10;nOFlprrMCCsJquQyIGdjsA3jSO8d6rajXnlywMIdud3o5EK8iZHXmTlNVDLnPP1xZC/jVPXrjW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8IecnYAAAACQEAAA8AAAAAAAAAAQAgAAAAIgAAAGRy&#10;cy9kb3ducmV2LnhtbFBLAQIUABQAAAAIAIdO4kAH/Wm7BQIAAOsDAAAOAAAAAAAAAAEAIAAAACcB&#10;AABkcnMvZTJvRG9jLnhtbFBLBQYAAAAABgAGAFkBAACeBQAAAAA=&#10;">
                <v:fill on="t" focussize="0,0"/>
                <v:stroke on="f"/>
                <v:imagedata o:title=""/>
                <o:lock v:ext="edit" aspectratio="f"/>
                <v:textbox inset="3.05070866141732pt,1.52543307086614pt,3.05070866141732pt,1.52543307086614pt">
                  <w:txbxContent>
                    <w:p>
                      <w:pPr>
                        <w:ind w:left="297" w:leftChars="135"/>
                        <w:jc w:val="center"/>
                        <w:rPr>
                          <w:color w:val="404040" w:themeColor="text1" w:themeTint="BF"/>
                          <w:sz w:val="24"/>
                          <w14:textFill>
                            <w14:solidFill>
                              <w14:schemeClr w14:val="tx1">
                                <w14:lumMod w14:val="75000"/>
                                <w14:lumOff w14:val="25000"/>
                              </w14:schemeClr>
                            </w14:solidFill>
                          </w14:textFill>
                        </w:rPr>
                      </w:pPr>
                      <w:r>
                        <w:rPr>
                          <w:color w:val="404040" w:themeColor="text1" w:themeTint="BF"/>
                          <w:sz w:val="24"/>
                          <w14:textFill>
                            <w14:solidFill>
                              <w14:schemeClr w14:val="tx1">
                                <w14:lumMod w14:val="75000"/>
                                <w14:lumOff w14:val="25000"/>
                              </w14:schemeClr>
                            </w14:solidFill>
                          </w14:textFill>
                        </w:rPr>
                        <w:t xml:space="preserve">                                                 </w:t>
                      </w:r>
                    </w:p>
                  </w:txbxContent>
                </v:textbox>
              </v:rect>
              <v:rect id="Rectangle 5" o:spid="_x0000_s1026" o:spt="1" style="position:absolute;left:5037;top:1349;height:161041;width:162658;" fillcolor="#7F1083" filled="t" stroked="f" coordsize="21600,21600" o:gfxdata="UEsDBAoAAAAAAIdO4kAAAAAAAAAAAAAAAAAEAAAAZHJzL1BLAwQUAAAACACHTuJAWaE3ltYAAAAJ&#10;AQAADwAAAGRycy9kb3ducmV2LnhtbE2PzU7DMBCE70i8g7VIvbVOgoAkxOmhUh+gKRJX194mgXgd&#10;Yjf9eXq2JzjtrmY0+021vrhBzDiF3pOCdJWAQDLe9tQq+NhvlzmIEDVZPXhCBVcMsK4fHypdWn+m&#10;Hc5NbAWHUCi1gi7GsZQymA6dDis/IrF29JPTkc+plXbSZw53g8yS5FU63RN/6PSImw7Nd3NyCr62&#10;x0/rmoLi9bb7MZsXsy/mXKnFU5q8g4h4iX9muOMzOtTMdPAnskEMCvKEq0QFy2eedz1NC94OCrLs&#10;DWRdyf8N6l9QSwMEFAAAAAgAh07iQMrZ5p0AAgAA4AMAAA4AAABkcnMvZTJvRG9jLnhtbK1T247T&#10;MBB9R+IfLL/TJE2vUdPVqqsipIVdsfABruMkFonHjN2my9czdrpLgTfEi+XxjM/MOT7e3Jz7jp0U&#10;Og2m5Nkk5UwZCZU2Tcm/ftm/W3HmvDCV6MCokj8rx2+2b99sBluoKbTQVQoZgRhXDLbkrfe2SBIn&#10;W9ULNwGrDCVrwF54CrFJKhQDofddMk3TRTIAVhZBKufo9G5M8m3Er2sl/UNdO+VZV3KazccV43oI&#10;a7LdiKJBYVstL2OIf5iiF9pQ01eoO+EFO6L+C6rXEsFB7ScS+gTqWksVORCbLP2DzVMrrIpcSBxn&#10;X2Vy/w9Wfjo9ItNVydecGdHTE30m0YRpOsXmQZ7BuoKqnuwjBoLO3oP85piBXUtV6hYRhlaJiobK&#10;Qn3y24UQOLrKDsNHqAhdHD1Epc419gGQNGDnks/TfMnZM4Hks/X4LOrsmaRUtpgu5uQjGbKLLJ2N&#10;fUTxAmHR+fcKehY2JUciEFuI073zYSRRvJRECtDpaq+7LgbYHHYdspMghyz3WbrKIwtiel3WmVBs&#10;IFwbEcNJ5BrojTIdoHomqgijzehb0KYF/MHZQBYruft+FKg46z4YkitfLWcz8mQMsnW+zDnD68zh&#10;OiOMJKiSe87G7c6PPj5a1E1LnbJI2sAtSVzrSDzIP051GZZsFPW4WD749DqOVb8+5v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aE3ltYAAAAJAQAADwAAAAAAAAABACAAAAAiAAAAZHJzL2Rvd25y&#10;ZXYueG1sUEsBAhQAFAAAAAgAh07iQMrZ5p0AAgAA4AMAAA4AAAAAAAAAAQAgAAAAJQEAAGRycy9l&#10;Mm9Eb2MueG1sUEsFBgAAAAAGAAYAWQEAAJcFAAAAAA==&#10;">
                <v:fill on="t" focussize="0,0"/>
                <v:stroke on="f"/>
                <v:imagedata o:title=""/>
                <o:lock v:ext="edit" aspectratio="f"/>
                <v:textbox inset="3.05070866141732pt,1.52543307086614pt,3.05070866141732pt,1.52543307086614pt"/>
              </v:rect>
              <v:rect id="Rectangle 5" o:spid="_x0000_s1026" o:spt="1" style="position:absolute;left:165100;top:1270;height:161290;width:162560;" fillcolor="#023886" filled="t" stroked="f" coordsize="21600,21600" o:gfxdata="UEsDBAoAAAAAAIdO4kAAAAAAAAAAAAAAAAAEAAAAZHJzL1BLAwQUAAAACACHTuJAnw+7XNkAAAAJ&#10;AQAADwAAAGRycy9kb3ducmV2LnhtbE2PQU/DMAyF70j8h8hIXNCWtEhjK3V3QCrihuiGBLesMW2h&#10;caom68q/Jzuxk229p+fv5dvZ9mKi0XeOEZKlAkFcO9Nxg7DflYs1CB80G907JoRf8rAtrq9ynRl3&#10;4jeaqtCIGMI+0whtCEMmpa9bstov3UActS83Wh3iOTbSjPoUw20vU6VW0uqO44dWD/TUUv1THS3C&#10;+76Ud/30ap43L+6z2n2XH6u5RLy9SdQjiEBz+DfDGT+iQxGZDu7IxoseYa1ilYCwuI/zrCfJJm4H&#10;hDR9AFnk8rJB8QdQSwMEFAAAAAgAh07iQDLRQ4T/AQAA4wMAAA4AAABkcnMvZTJvRG9jLnhtbK1T&#10;y27bMBC8F+g/ELzXsuT4EcFyEDhIUSBtgqb9AJqiJKIUl13Slt2v75JyUre9Fb0QXO5yuDM7XN8c&#10;e8MOCr0GW/F8MuVMWQm1tm3Fv365f7fizAdha2HAqoqflOc3m7dv1oMrVQEdmFohIxDry8FVvAvB&#10;lVnmZad64SfglKVkA9iLQCG2WY1iIPTeZMV0usgGwNohSOU9nd6NSb5J+E2jZHhsGq8CMxWn3kJa&#10;Ma27uGabtShbFK7T8tyG+IcueqEtPfoKdSeCYHvUf0H1WiJ4aMJEQp9B02ipEgdik0//YPPcCacS&#10;FxLHu1eZ/P+DlZ8OT8h0TbMrOLOipxl9JtWEbY1i86jP4HxJZc/uCSND7x5AfvPMwrajKnWLCEOn&#10;RE1d5bE+++1CDDxdZbvhI9SELvYBklTHBvsISCKwI91dzPMpjegUW1meJ6OOgcmULOYLSsqYXeTF&#10;dcpnonwBcejDewU9i5uKI1FIj4jDgw+xKVG+lCQSYHR9r41JAba7rUF2ENEkxWy1WiQexPWyzNhY&#10;bCFeGxHjSWIbCY5C7aA+EVmE0Wn0M2jTAf7gbCCXVdx/3wtUnJkPlgSbrZZXV2TLFOTXs+WMM7zM&#10;7C4zwkqCqnjgbNxuw2jlvUPddvRSnkhbuCWRG52IxwGMXZ2bJSclPc6uj1a9jFPVr7+5+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D7tc2QAAAAkBAAAPAAAAAAAAAAEAIAAAACIAAABkcnMvZG93&#10;bnJldi54bWxQSwECFAAUAAAACACHTuJAMtFDhP8BAADjAwAADgAAAAAAAAABACAAAAAoAQAAZHJz&#10;L2Uyb0RvYy54bWxQSwUGAAAAAAYABgBZAQAAmQUAAAAA&#10;">
                <v:fill on="t" focussize="0,0"/>
                <v:stroke on="f"/>
                <v:imagedata o:title=""/>
                <o:lock v:ext="edit" aspectratio="f"/>
                <v:textbox inset="3.05070866141732pt,1.52543307086614pt,3.05070866141732pt,1.52543307086614pt"/>
              </v:rect>
            </v:group>
          </w:pict>
        </mc:Fallback>
      </mc:AlternateContent>
    </w:r>
    <w:r>
      <w:rPr>
        <w:rFonts w:ascii="微软雅黑" w:hAnsi="微软雅黑" w:eastAsia="微软雅黑"/>
        <w:sz w:val="13"/>
        <w:szCs w:val="13"/>
        <w:lang w:val="zh-CN"/>
      </w:rPr>
      <w:fldChar w:fldCharType="begin"/>
    </w:r>
    <w:r>
      <w:rPr>
        <w:rFonts w:ascii="微软雅黑" w:hAnsi="微软雅黑" w:eastAsia="微软雅黑"/>
        <w:sz w:val="13"/>
        <w:szCs w:val="13"/>
        <w:lang w:val="zh-CN"/>
      </w:rPr>
      <w:instrText xml:space="preserve"> </w:instrText>
    </w:r>
    <w:r>
      <w:rPr>
        <w:rFonts w:hint="eastAsia" w:ascii="微软雅黑" w:hAnsi="微软雅黑" w:eastAsia="微软雅黑"/>
        <w:sz w:val="13"/>
        <w:szCs w:val="13"/>
        <w:lang w:val="zh-CN"/>
      </w:rPr>
      <w:instrText xml:space="preserve">TIME \@ "yyyy'年'M'月'd'日'"</w:instrText>
    </w:r>
    <w:r>
      <w:rPr>
        <w:rFonts w:ascii="微软雅黑" w:hAnsi="微软雅黑" w:eastAsia="微软雅黑"/>
        <w:sz w:val="13"/>
        <w:szCs w:val="13"/>
        <w:lang w:val="zh-CN"/>
      </w:rPr>
      <w:instrText xml:space="preserve"> </w:instrText>
    </w:r>
    <w:r>
      <w:rPr>
        <w:rFonts w:ascii="微软雅黑" w:hAnsi="微软雅黑" w:eastAsia="微软雅黑"/>
        <w:sz w:val="13"/>
        <w:szCs w:val="13"/>
        <w:lang w:val="zh-CN"/>
      </w:rPr>
      <w:fldChar w:fldCharType="separate"/>
    </w:r>
    <w:r>
      <w:rPr>
        <w:rFonts w:hint="eastAsia" w:ascii="微软雅黑" w:hAnsi="微软雅黑" w:eastAsia="微软雅黑"/>
        <w:sz w:val="13"/>
        <w:szCs w:val="13"/>
        <w:lang w:val="zh-CN"/>
      </w:rPr>
      <w:t>2020年11月3日</w:t>
    </w:r>
    <w:r>
      <w:rPr>
        <w:rFonts w:ascii="微软雅黑" w:hAnsi="微软雅黑" w:eastAsia="微软雅黑"/>
        <w:sz w:val="13"/>
        <w:szCs w:val="13"/>
        <w:lang w:val="zh-CN"/>
      </w:rPr>
      <w:fldChar w:fldCharType="end"/>
    </w:r>
    <w:r>
      <w:rPr>
        <w:rFonts w:ascii="微软雅黑" w:hAnsi="微软雅黑" w:eastAsia="微软雅黑"/>
        <w:sz w:val="13"/>
        <w:szCs w:val="13"/>
        <w:lang w:eastAsia="zh-CN"/>
      </w:rPr>
      <w:t xml:space="preserve">                                        </w:t>
    </w:r>
    <w:r>
      <w:rPr>
        <w:rFonts w:hint="eastAsia" w:ascii="微软雅黑" w:hAnsi="微软雅黑" w:eastAsia="微软雅黑"/>
        <w:sz w:val="13"/>
        <w:szCs w:val="13"/>
        <w:lang w:eastAsia="zh-CN"/>
      </w:rPr>
      <w:t xml:space="preserve">                                       </w:t>
    </w:r>
    <w:r>
      <w:rPr>
        <w:rFonts w:ascii="微软雅黑" w:hAnsi="微软雅黑" w:eastAsia="微软雅黑"/>
        <w:sz w:val="13"/>
        <w:szCs w:val="13"/>
        <w:lang w:eastAsia="zh-CN"/>
      </w:rPr>
      <w:t xml:space="preserve">      </w:t>
    </w:r>
    <w:r>
      <w:rPr>
        <w:rFonts w:hint="eastAsia" w:ascii="微软雅黑" w:hAnsi="微软雅黑" w:eastAsia="微软雅黑"/>
        <w:sz w:val="13"/>
        <w:szCs w:val="13"/>
        <w:lang w:eastAsia="zh-CN"/>
      </w:rPr>
      <w:t xml:space="preserve"> </w:t>
    </w:r>
    <w:r>
      <w:rPr>
        <w:rFonts w:ascii="微软雅黑" w:hAnsi="微软雅黑" w:eastAsia="微软雅黑"/>
        <w:sz w:val="13"/>
        <w:szCs w:val="13"/>
        <w:lang w:eastAsia="zh-CN"/>
      </w:rPr>
      <w:t xml:space="preserve">                     </w:t>
    </w:r>
    <w:r>
      <w:rPr>
        <w:rFonts w:hint="eastAsia" w:ascii="微软雅黑" w:hAnsi="微软雅黑" w:eastAsia="微软雅黑"/>
        <w:sz w:val="13"/>
        <w:szCs w:val="13"/>
        <w:lang w:eastAsia="zh-CN"/>
      </w:rPr>
      <w:t>第</w:t>
    </w:r>
    <w:r>
      <w:rPr>
        <w:rFonts w:ascii="微软雅黑" w:hAnsi="微软雅黑" w:eastAsia="微软雅黑"/>
        <w:sz w:val="13"/>
        <w:szCs w:val="13"/>
      </w:rPr>
      <w:fldChar w:fldCharType="begin"/>
    </w:r>
    <w:r>
      <w:rPr>
        <w:rFonts w:ascii="微软雅黑" w:hAnsi="微软雅黑" w:eastAsia="微软雅黑"/>
        <w:sz w:val="13"/>
        <w:szCs w:val="13"/>
        <w:lang w:eastAsia="zh-CN"/>
      </w:rPr>
      <w:instrText xml:space="preserve">page</w:instrText>
    </w:r>
    <w:r>
      <w:rPr>
        <w:rFonts w:ascii="微软雅黑" w:hAnsi="微软雅黑" w:eastAsia="微软雅黑"/>
        <w:sz w:val="13"/>
        <w:szCs w:val="13"/>
      </w:rPr>
      <w:fldChar w:fldCharType="separate"/>
    </w:r>
    <w:r>
      <w:rPr>
        <w:rFonts w:ascii="微软雅黑" w:hAnsi="微软雅黑" w:eastAsia="微软雅黑"/>
        <w:sz w:val="13"/>
        <w:szCs w:val="13"/>
        <w:lang w:eastAsia="zh-CN"/>
      </w:rPr>
      <w:t>9</w:t>
    </w:r>
    <w:r>
      <w:rPr>
        <w:rFonts w:ascii="微软雅黑" w:hAnsi="微软雅黑" w:eastAsia="微软雅黑"/>
        <w:sz w:val="13"/>
        <w:szCs w:val="13"/>
      </w:rPr>
      <w:fldChar w:fldCharType="end"/>
    </w:r>
    <w:r>
      <w:rPr>
        <w:rFonts w:hint="eastAsia" w:ascii="微软雅黑" w:hAnsi="微软雅黑" w:eastAsia="微软雅黑"/>
        <w:sz w:val="13"/>
        <w:szCs w:val="13"/>
        <w:lang w:eastAsia="zh-CN"/>
      </w:rPr>
      <w:t>页 共</w:t>
    </w:r>
    <w:r>
      <w:rPr>
        <w:rFonts w:ascii="微软雅黑" w:hAnsi="微软雅黑" w:eastAsia="微软雅黑"/>
        <w:sz w:val="13"/>
        <w:szCs w:val="13"/>
      </w:rPr>
      <w:fldChar w:fldCharType="begin"/>
    </w:r>
    <w:r>
      <w:rPr>
        <w:rFonts w:ascii="微软雅黑" w:hAnsi="微软雅黑" w:eastAsia="微软雅黑"/>
        <w:sz w:val="13"/>
        <w:szCs w:val="13"/>
        <w:lang w:eastAsia="zh-CN"/>
      </w:rPr>
      <w:instrText xml:space="preserve"> NUMPAGES  </w:instrText>
    </w:r>
    <w:r>
      <w:rPr>
        <w:rFonts w:ascii="微软雅黑" w:hAnsi="微软雅黑" w:eastAsia="微软雅黑"/>
        <w:sz w:val="13"/>
        <w:szCs w:val="13"/>
      </w:rPr>
      <w:fldChar w:fldCharType="separate"/>
    </w:r>
    <w:r>
      <w:rPr>
        <w:rFonts w:ascii="微软雅黑" w:hAnsi="微软雅黑" w:eastAsia="微软雅黑"/>
        <w:sz w:val="13"/>
        <w:szCs w:val="13"/>
        <w:lang w:eastAsia="zh-CN"/>
      </w:rPr>
      <w:t>9</w:t>
    </w:r>
    <w:r>
      <w:rPr>
        <w:rFonts w:ascii="微软雅黑" w:hAnsi="微软雅黑" w:eastAsia="微软雅黑"/>
        <w:sz w:val="13"/>
        <w:szCs w:val="13"/>
      </w:rPr>
      <w:fldChar w:fldCharType="end"/>
    </w:r>
    <w:r>
      <w:rPr>
        <w:rFonts w:hint="eastAsia" w:ascii="微软雅黑" w:hAnsi="微软雅黑" w:eastAsia="微软雅黑"/>
        <w:sz w:val="13"/>
        <w:szCs w:val="13"/>
        <w:lang w:eastAsia="zh-CN"/>
      </w:rPr>
      <w:t>页</w:t>
    </w:r>
    <w:r>
      <w:rPr>
        <w:rFonts w:ascii="微软雅黑" w:hAnsi="微软雅黑" w:eastAsia="微软雅黑"/>
        <w:sz w:val="13"/>
        <w:szCs w:val="13"/>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8306"/>
      </w:tabs>
      <w:ind w:firstLine="629" w:firstLineChars="348"/>
      <w:rPr>
        <w:rFonts w:ascii="微软雅黑" w:hAnsi="微软雅黑" w:eastAsia="微软雅黑"/>
        <w:sz w:val="13"/>
        <w:szCs w:val="13"/>
        <w:lang w:eastAsia="zh-CN"/>
      </w:rPr>
    </w:pPr>
    <w:r>
      <w:rPr>
        <w:b/>
        <w:bCs/>
        <w:lang w:eastAsia="zh-CN"/>
      </w:rPr>
      <mc:AlternateContent>
        <mc:Choice Requires="wpc">
          <w:drawing>
            <wp:anchor distT="0" distB="0" distL="114300" distR="114300" simplePos="0" relativeHeight="251658240" behindDoc="1" locked="0" layoutInCell="1" allowOverlap="1">
              <wp:simplePos x="0" y="0"/>
              <wp:positionH relativeFrom="page">
                <wp:posOffset>508000</wp:posOffset>
              </wp:positionH>
              <wp:positionV relativeFrom="paragraph">
                <wp:posOffset>-19050</wp:posOffset>
              </wp:positionV>
              <wp:extent cx="6597650" cy="163195"/>
              <wp:effectExtent l="0" t="0" r="6350" b="0"/>
              <wp:wrapNone/>
              <wp:docPr id="131" name="画布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23886"/>
                      </a:solidFill>
                    </wpc:bg>
                    <wpc:whole>
                      <a:ln>
                        <a:noFill/>
                      </a:ln>
                    </wpc:whole>
                    <wps:wsp>
                      <wps:cNvPr id="10" name="Rectangle 4"/>
                      <wps:cNvSpPr>
                        <a:spLocks noChangeArrowheads="1"/>
                      </wps:cNvSpPr>
                      <wps:spPr bwMode="auto">
                        <a:xfrm>
                          <a:off x="2" y="2154"/>
                          <a:ext cx="6597648" cy="161041"/>
                        </a:xfrm>
                        <a:prstGeom prst="rect">
                          <a:avLst/>
                        </a:prstGeom>
                        <a:solidFill>
                          <a:srgbClr val="D9D9D9"/>
                        </a:solidFill>
                        <a:ln>
                          <a:noFill/>
                        </a:ln>
                      </wps:spPr>
                      <wps:txbx>
                        <w:txbxContent>
                          <w:p>
                            <w:pPr>
                              <w:ind w:left="297" w:leftChars="135"/>
                              <w:jc w:val="center"/>
                              <w:rPr>
                                <w:color w:val="404040" w:themeColor="text1" w:themeTint="BF"/>
                                <w:sz w:val="24"/>
                                <w14:textFill>
                                  <w14:solidFill>
                                    <w14:schemeClr w14:val="tx1">
                                      <w14:lumMod w14:val="75000"/>
                                      <w14:lumOff w14:val="25000"/>
                                    </w14:schemeClr>
                                  </w14:solidFill>
                                </w14:textFill>
                              </w:rPr>
                            </w:pPr>
                            <w:r>
                              <w:rPr>
                                <w:color w:val="404040" w:themeColor="text1" w:themeTint="BF"/>
                                <w:sz w:val="24"/>
                                <w14:textFill>
                                  <w14:solidFill>
                                    <w14:schemeClr w14:val="tx1">
                                      <w14:lumMod w14:val="75000"/>
                                      <w14:lumOff w14:val="25000"/>
                                    </w14:schemeClr>
                                  </w14:solidFill>
                                </w14:textFill>
                              </w:rPr>
                              <w:t xml:space="preserve">                                                 </w:t>
                            </w:r>
                          </w:p>
                        </w:txbxContent>
                      </wps:txbx>
                      <wps:bodyPr rot="0" vert="horz" wrap="square" lIns="38744" tIns="19373" rIns="38744" bIns="19373" anchor="ctr" anchorCtr="0" upright="1">
                        <a:noAutofit/>
                      </wps:bodyPr>
                    </wps:wsp>
                    <wps:wsp>
                      <wps:cNvPr id="11" name="Rectangle 5"/>
                      <wps:cNvSpPr>
                        <a:spLocks noChangeArrowheads="1"/>
                      </wps:cNvSpPr>
                      <wps:spPr bwMode="auto">
                        <a:xfrm>
                          <a:off x="5037" y="1349"/>
                          <a:ext cx="162658" cy="161041"/>
                        </a:xfrm>
                        <a:prstGeom prst="rect">
                          <a:avLst/>
                        </a:prstGeom>
                        <a:solidFill>
                          <a:srgbClr val="7F1083"/>
                        </a:solidFill>
                        <a:ln>
                          <a:noFill/>
                        </a:ln>
                      </wps:spPr>
                      <wps:bodyPr rot="0" vert="horz" wrap="square" lIns="38744" tIns="19373" rIns="38744" bIns="19373" anchor="t" anchorCtr="0" upright="1">
                        <a:noAutofit/>
                      </wps:bodyPr>
                    </wps:wsp>
                    <wps:wsp>
                      <wps:cNvPr id="2" name="Rectangle 5"/>
                      <wps:cNvSpPr>
                        <a:spLocks noChangeArrowheads="1"/>
                      </wps:cNvSpPr>
                      <wps:spPr bwMode="auto">
                        <a:xfrm>
                          <a:off x="165100" y="1270"/>
                          <a:ext cx="162560" cy="161290"/>
                        </a:xfrm>
                        <a:prstGeom prst="rect">
                          <a:avLst/>
                        </a:prstGeom>
                        <a:solidFill>
                          <a:srgbClr val="023886"/>
                        </a:solidFill>
                        <a:ln>
                          <a:noFill/>
                        </a:ln>
                      </wps:spPr>
                      <wps:bodyPr rot="0" vert="horz" wrap="square" lIns="38744" tIns="19373" rIns="38744" bIns="19373" anchor="t" anchorCtr="0" upright="1">
                        <a:noAutofit/>
                      </wps:bodyPr>
                    </wps:wsp>
                  </wpc:wpc>
                </a:graphicData>
              </a:graphic>
            </wp:anchor>
          </w:drawing>
        </mc:Choice>
        <mc:Fallback>
          <w:pict>
            <v:group id="_x0000_s1026" o:spid="_x0000_s1026" o:spt="203" style="position:absolute;left:0pt;margin-left:40pt;margin-top:-1.5pt;height:12.85pt;width:519.5pt;mso-position-horizontal-relative:page;z-index:-251658240;mso-width-relative:page;mso-height-relative:page;" coordsize="6597650,163195" editas="canvas" o:gfxdata="UEsDBAoAAAAAAIdO4kAAAAAAAAAAAAAAAAAEAAAAZHJzL1BLAwQUAAAACACHTuJAbm3yJtkAAAAJ&#10;AQAADwAAAGRycy9kb3ducmV2LnhtbE2PT0vDQBDF74LfYRnBi7S7iaI1ZtKDIIKIxbSHHLfZyR+a&#10;nQ3ZbVq/vduTnmaG93jze/n6bAcx0+R7xwjJUoEgrp3puUXYbd8WKxA+aDZ6cEwIP+RhXVxf5Toz&#10;7sTfNJehFTGEfaYRuhDGTEpfd2S1X7qROGqNm6wO8ZxaaSZ9iuF2kKlSj9LqnuOHTo/02lF9KI8W&#10;gWkMu4/qq2o274e7T1nND9uyQby9SdQLiEDn8GeGC35EhyIy7d2RjRcDwkrFKgFhcR/nRU+S57jt&#10;EdL0CWSRy/8Nil9QSwMEFAAAAAgAh07iQLtj3H7gAgAAwgkAAA4AAABkcnMvZTJvRG9jLnhtbN1W&#10;XW7UMBB+R+IOlt9p4mST3Y2araqWVkgFKgoH8DrOj0hsY3s3W165AodB4jyIazB29q9biYdWrQRa&#10;yZvx2OOZb74Z+/hk1bVoybVppMgxOQox4oLJohFVjj99vHg1wchYKgraSsFzfMsNPpm9fHHcq4xH&#10;spZtwTUCI8Jkvcpxba3KgsCwmnfUHEnFBShLqTtqQdRVUGjag/WuDaIwTINe6kJpybgxMHs+KPHM&#10;2y9Lzuz7sjTcojbH4Jv1o/bj3I3B7JhmlaaqbtjaDfoALzraCDh0a+qcWooWurlnqmuYlkaW9ojJ&#10;LpBl2TDuY4BoSHgQzaWWC+VjqbK+UluYANoDnB5slr1bXmvUFJC7mGAkaAdJ+v39568f35CbAXx6&#10;VWWw7FKrG3Wt1xPVILmQV6Xu3D8Eg1Ye2dstsnxlEYPJNJmO0wQSwEBH0phMkwF6VkN+7m1j9eu/&#10;bww2xwbOu60zvQIWmR1Q5nFA3dRUcY+/cQhsgIIwBpw+AL2oqFqORgNQfplDyeFh1JVknw0S8qyG&#10;VfxUa9nXnBbglQcWfN/b4AQDW9G8fysLyAJdWOk5dQBwhBGAGJHEH0qzOxiPoN4GjEk4Gk7ZQEUz&#10;pY295LJD7iPHGtz3B9DllbGQWEB1s8QHINumuGja1gu6mp+1Gi0pVNL51P1czLDF7C9rhVsspNs2&#10;qN2Mj9QF59hkMruarzyPTDaXxS3ErOVQmdBJ4KOW+itGPVRljs2XBdUco/aNANziyXg0gjL2ApnG&#10;4xgjva+Z72uoYGAqx8xqjAbhzA7Fv1C6qWo4i3gEhDwFtMvGo+BcHPxaew6UGhx/em5ta3DHLV8p&#10;d6jydNxKwnjs6UXikc/vjl4kjdLkWdg1viDhJH4wu56FUvYfIRQ0i8Ne9Zx8ImlCQuiXrutH4/V1&#10;u2lYwKgk3d4JJJp6/ba175rRo/tVGMWTSfrfM8pfhvBQ8G15/ahxL5F92be03dNr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ubfIm2QAAAAkBAAAPAAAAAAAAAAEAIAAAACIAAABkcnMvZG93bnJl&#10;di54bWxQSwECFAAUAAAACACHTuJAu2PcfuACAADCCQAADgAAAAAAAAABACAAAAAoAQAAZHJzL2Uy&#10;b0RvYy54bWxQSwUGAAAAAAYABgBZAQAAegYAAAAA&#10;">
              <o:lock v:ext="edit" aspectratio="f"/>
              <v:shape id="_x0000_s1026" o:spid="_x0000_s1026" style="position:absolute;left:0;top:0;height:163195;width:6597650;" fillcolor="#023886" filled="t" stroked="f" coordsize="21600,21600" o:gfxdata="UEsDBAoAAAAAAIdO4kAAAAAAAAAAAAAAAAAEAAAAZHJzL1BLAwQUAAAACACHTuJAbm3yJtkAAAAJ&#10;AQAADwAAAGRycy9kb3ducmV2LnhtbE2PT0vDQBDF74LfYRnBi7S7iaI1ZtKDIIKIxbSHHLfZyR+a&#10;nQ3ZbVq/vduTnmaG93jze/n6bAcx0+R7xwjJUoEgrp3puUXYbd8WKxA+aDZ6cEwIP+RhXVxf5Toz&#10;7sTfNJehFTGEfaYRuhDGTEpfd2S1X7qROGqNm6wO8ZxaaSZ9iuF2kKlSj9LqnuOHTo/02lF9KI8W&#10;gWkMu4/qq2o274e7T1nND9uyQby9SdQLiEDn8GeGC35EhyIy7d2RjRcDwkrFKgFhcR/nRU+S57jt&#10;EdL0CWSRy/8Nil9QSwMEFAAAAAgAh07iQKWQXMadAgAAZgkAAA4AAABkcnMvZTJvRG9jLnhtbNVW&#10;bWvbMBD+Pth/EPq+2rJjJzFxSknoGHRrWbcfIMvyC7MlTVLidL9+JznpKx2j6wIloOh8p3t97qTF&#10;6a7v0JZr00qRY3ISYsQFk2Ur6hx//3b+YYaRsVSUtJOC5/iGG3y6fP9uMaiMR7KRXck1AiXCZIPK&#10;cWOtyoLAsIb31JxIxQUwK6l7aoHUdVBqOoD2vguiMEyDQepSacm4MfB1PTLx0uuvKs7sZVUZblGX&#10;Y/DN+lX7tXBrsFzQrNZUNS3bu0Ff4EVPWwFGb1WtqaVoo9snqvqWaWlkZU+Y7ANZVS3jPgaIhoSP&#10;ollRsaXGB8MgOwcHYfeKeova+W1k15bnbdd5QtfFqtNoS13Wong2S12iggdiAbiRucPuf4BCcne0&#10;E24V0qkaj7gvXnYvMyiotFG3NTf/Fst1QxX3KTIZ+7K90qgtAYhQa0F7ANxXgAAVdcfRxMXgrIPY&#10;tbrSPlJ1IdkPg4RcNSDFz7SWQ8NpCV4RH/ODA44wcBQVw2dZgna6sdLXfVfp3imEiqJdjiOMbmAl&#10;iTdKM76ziMH3NJlP0wn0BAM2SUk4Ga3Q7KBAaWM/ctkjt8mxBve9Abq9MHbM6EHEB/Bs3dZz93ta&#10;tz/UaAxuTJLdFbt9vgpZ3kDMWo7dA90Om0bqXxgN0Dk5Nj83VHOMuk8C8hbPppMJtJonyDyexhjp&#10;+5ziPocKBqpyzKzGaCRWdmzQjdJt3YAt4jMg5Blku2p9FlwlRr88ujykRsf/P7bIU2wlR8RWEsZT&#10;Dy8ST3x97+BF0ihNjoKu6TkJZ/GL0XUUSNk3AigYFo9n1THxRNKEhDAv3USKpvsr8TCwAFFJCsz9&#10;vIrmng83wavPq+fumb+cV28FUeNVqJi/TvcPD/dauE/7kXb3PFr+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G5t8ibZAAAACQEAAA8AAAAAAAAAAQAgAAAAIgAAAGRycy9kb3ducmV2LnhtbFBLAQIU&#10;ABQAAAAIAIdO4kClkFzGnQIAAGYJAAAOAAAAAAAAAAEAIAAAACgBAABkcnMvZTJvRG9jLnhtbFBL&#10;BQYAAAAABgAGAFkBAAA3BgAAAAA=&#10;">
                <v:fill on="t" focussize="0,0"/>
                <v:stroke on="f"/>
                <v:imagedata o:title=""/>
                <o:lock v:ext="edit" aspectratio="t"/>
              </v:shape>
              <v:rect id="Rectangle 4" o:spid="_x0000_s1026" o:spt="1" style="position:absolute;left:2;top:2154;height:161041;width:6597648;v-text-anchor:middle;" fillcolor="#D9D9D9" filled="t" stroked="f" coordsize="21600,21600" o:gfxdata="UEsDBAoAAAAAAIdO4kAAAAAAAAAAAAAAAAAEAAAAZHJzL1BLAwQUAAAACACHTuJAfwh5ydgAAAAJ&#10;AQAADwAAAGRycy9kb3ducmV2LnhtbE2PQU/DMAyF70j8h8hI3LakRbCtNJ2gGhyZNjiwW9aatiJx&#10;qiZrx7/HO8HJtt7T8/fy9dlZMeIQOk8akrkCgVT5uqNGw8f7y2wJIkRDtbGeUMMPBlgX11e5yWo/&#10;0Q7HfWwEh1DIjIY2xj6TMlQtOhPmvkdi7csPzkQ+h0bWg5k43FmZKvUgnemIP7Smx7LF6nt/chrC&#10;k3Vv28Nmt5g+X8Pz2JQbui+1vr1J1COIiOf4Z4YLPqNDwUxHf6I6CKthqbhK1DC743nRk2TF21FD&#10;mi5AFrn836D4BVBLAwQUAAAACACHTuJAEfSyLgUCAADsAwAADgAAAGRycy9lMm9Eb2MueG1srVNh&#10;b9MwEP2OxH+w/J2mabtujZpOU6shpMEmBj/AcZzEwvGZs9u0/HrOTjcKfEMokpXznd/de35e3x57&#10;ww4KvQZb8nwy5UxZCbW2bcm/frl/d8OZD8LWwoBVJT8pz283b9+sB1eoGXRgaoWMQKwvBlfyLgRX&#10;ZJmXneqFn4BTlpINYC8ChdhmNYqB0HuTzabTZTYA1g5BKu9pdzcm+SbhN42S4bFpvArMlJxmC2nF&#10;tFZxzTZrUbQoXKfleQzxD1P0Qltq+gq1E0GwPeq/oHotETw0YSKhz6BptFSJA7HJp3+wee6EU4kL&#10;iePdq0z+/8HKT4cnZLqmuyN5rOjpjj6TasK2RrFF1GdwvqCyZ/eEkaF3DyC/eWZh21GVukOEoVOi&#10;pqnyWJ/9diAGno6yavgINaGLfYAk1bHBPgKSCOxY8hlnJ1rzq9RUFOoYmKT95dXqerkgG0lK58t8&#10;uhi7iOIFwKEP7xX0LP6UHGn81EAcHnyIA4nipSQRAKPre21MCrCttgbZQZBBdqv4JQ7E87LM2Fhs&#10;IR4bEeNOYhrJjSKFY3U861VBfSLOCKPh6IHQTwf4g7OBzFZy/30vUHFmPljSbX5zvViQO1OQr+bX&#10;c87wMlNdZoSVBFVyGZCzMdiG0dN7h7rtqFeeFLBwR2o3OqkQb2Kc6zw5WSqJc7Z/9OxlnKp+PdL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8IecnYAAAACQEAAA8AAAAAAAAAAQAgAAAAIgAAAGRy&#10;cy9kb3ducmV2LnhtbFBLAQIUABQAAAAIAIdO4kAR9LIuBQIAAOwDAAAOAAAAAAAAAAEAIAAAACcB&#10;AABkcnMvZTJvRG9jLnhtbFBLBQYAAAAABgAGAFkBAACeBQAAAAA=&#10;">
                <v:fill on="t" focussize="0,0"/>
                <v:stroke on="f"/>
                <v:imagedata o:title=""/>
                <o:lock v:ext="edit" aspectratio="f"/>
                <v:textbox inset="3.05070866141732pt,1.52543307086614pt,3.05070866141732pt,1.52543307086614pt">
                  <w:txbxContent>
                    <w:p>
                      <w:pPr>
                        <w:ind w:left="297" w:leftChars="135"/>
                        <w:jc w:val="center"/>
                        <w:rPr>
                          <w:color w:val="404040" w:themeColor="text1" w:themeTint="BF"/>
                          <w:sz w:val="24"/>
                          <w14:textFill>
                            <w14:solidFill>
                              <w14:schemeClr w14:val="tx1">
                                <w14:lumMod w14:val="75000"/>
                                <w14:lumOff w14:val="25000"/>
                              </w14:schemeClr>
                            </w14:solidFill>
                          </w14:textFill>
                        </w:rPr>
                      </w:pPr>
                      <w:r>
                        <w:rPr>
                          <w:color w:val="404040" w:themeColor="text1" w:themeTint="BF"/>
                          <w:sz w:val="24"/>
                          <w14:textFill>
                            <w14:solidFill>
                              <w14:schemeClr w14:val="tx1">
                                <w14:lumMod w14:val="75000"/>
                                <w14:lumOff w14:val="25000"/>
                              </w14:schemeClr>
                            </w14:solidFill>
                          </w14:textFill>
                        </w:rPr>
                        <w:t xml:space="preserve">                                                 </w:t>
                      </w:r>
                    </w:p>
                  </w:txbxContent>
                </v:textbox>
              </v:rect>
              <v:rect id="Rectangle 5" o:spid="_x0000_s1026" o:spt="1" style="position:absolute;left:5037;top:1349;height:161041;width:162658;" fillcolor="#7F1083" filled="t" stroked="f" coordsize="21600,21600" o:gfxdata="UEsDBAoAAAAAAIdO4kAAAAAAAAAAAAAAAAAEAAAAZHJzL1BLAwQUAAAACACHTuJAWaE3ltYAAAAJ&#10;AQAADwAAAGRycy9kb3ducmV2LnhtbE2PzU7DMBCE70i8g7VIvbVOgoAkxOmhUh+gKRJX194mgXgd&#10;Yjf9eXq2JzjtrmY0+021vrhBzDiF3pOCdJWAQDLe9tQq+NhvlzmIEDVZPXhCBVcMsK4fHypdWn+m&#10;Hc5NbAWHUCi1gi7GsZQymA6dDis/IrF29JPTkc+plXbSZw53g8yS5FU63RN/6PSImw7Nd3NyCr62&#10;x0/rmoLi9bb7MZsXsy/mXKnFU5q8g4h4iX9muOMzOtTMdPAnskEMCvKEq0QFy2eedz1NC94OCrLs&#10;DWRdyf8N6l9QSwMEFAAAAAgAh07iQNNzhzQBAgAA4QMAAA4AAABkcnMvZTJvRG9jLnhtbK1T247T&#10;MBB9R+IfLL/TJE1vGzVdrboqQlrYFQsf4DrORTgeM3ablq9n7HSXAm+IF8vjGZ+Zc3y8vj31mh0V&#10;ug5MybNJypkyEqrONCX/+mX3bsWZ88JUQoNRJT8rx283b9+sB1uoKbSgK4WMQIwrBlvy1ntbJImT&#10;reqFm4BVhpI1YC88hdgkFYqB0HudTNN0kQyAlUWQyjk6vR+TfBPx61pJ/1jXTnmmS06z+bhiXPdh&#10;TTZrUTQobNvJyxjiH6boRWeo6SvUvfCCHbD7C6rvJIKD2k8k9AnUdSdV5EBssvQPNs+tsCpyIXGc&#10;fZXJ/T9Y+en4hKyr6O0yzozo6Y0+k2rCNFqxedBnsK6gsmf7hIGhsw8gvzlmYNtSlbpDhKFVoqKp&#10;slCf/HYhBI6usv3wESpCFwcPUapTjX0AJBHYqeTzNF9ydiaQfHYzvos6eSYplS2mizkZSYbsIktn&#10;Yx9RvEBYdP69gp6FTcmRCMQW4vjgfBhJFC8lkQLortp1WscAm/1WIzsKsshyl6WrPLIgptdl2oRi&#10;A+HaiBhOItdAb5RpD9WZqCKMPqN/QZsW8AdnA3ms5O77QaDiTH8wJFe+Ws5mZMoYZDf5MucMrzP7&#10;64wwkqBK7jkbt1s/GvlgsWta6pRF0gbuSOK6i8SD/ONUl2HJR1GPi+eDUa/jWPXrZ2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mhN5bWAAAACQEAAA8AAAAAAAAAAQAgAAAAIgAAAGRycy9kb3du&#10;cmV2LnhtbFBLAQIUABQAAAAIAIdO4kDTc4c0AQIAAOEDAAAOAAAAAAAAAAEAIAAAACUBAABkcnMv&#10;ZTJvRG9jLnhtbFBLBQYAAAAABgAGAFkBAACYBQAAAAA=&#10;">
                <v:fill on="t" focussize="0,0"/>
                <v:stroke on="f"/>
                <v:imagedata o:title=""/>
                <o:lock v:ext="edit" aspectratio="f"/>
                <v:textbox inset="3.05070866141732pt,1.52543307086614pt,3.05070866141732pt,1.52543307086614pt"/>
              </v:rect>
              <v:rect id="Rectangle 5" o:spid="_x0000_s1026" o:spt="1" style="position:absolute;left:165100;top:1270;height:161290;width:162560;" fillcolor="#023886" filled="t" stroked="f" coordsize="21600,21600" o:gfxdata="UEsDBAoAAAAAAIdO4kAAAAAAAAAAAAAAAAAEAAAAZHJzL1BLAwQUAAAACACHTuJAnw+7XNkAAAAJ&#10;AQAADwAAAGRycy9kb3ducmV2LnhtbE2PQU/DMAyF70j8h8hIXNCWtEhjK3V3QCrihuiGBLesMW2h&#10;caom68q/Jzuxk229p+fv5dvZ9mKi0XeOEZKlAkFcO9Nxg7DflYs1CB80G907JoRf8rAtrq9ynRl3&#10;4jeaqtCIGMI+0whtCEMmpa9bstov3UActS83Wh3iOTbSjPoUw20vU6VW0uqO44dWD/TUUv1THS3C&#10;+76Ud/30ap43L+6z2n2XH6u5RLy9SdQjiEBz+DfDGT+iQxGZDu7IxoseYa1ilYCwuI/zrCfJJm4H&#10;hDR9AFnk8rJB8QdQSwMEFAAAAAgAh07iQGtvh+X+AQAA4gMAAA4AAABkcnMvZTJvRG9jLnhtbK1T&#10;227bMAx9H7B/EPS+OHaaS404RZGiw4BuLdbtAxRZtoXJokYpcbKvHyWnXba9DXsRSJE84jmk1jfH&#10;3rCDQq/BVjyfTDlTVkKtbVvxr1/u360480HYWhiwquIn5fnN5u2b9eBKVUAHplbICMT6cnAV70Jw&#10;ZZZ52ale+Ak4ZSnYAPYikIttVqMYCL03WTGdLrIBsHYIUnlPt3djkG8SftMoGR6bxqvATMWpt5BO&#10;TOcuntlmLcoWheu0PLch/qGLXmhLj75C3Ykg2B71X1C9lggemjCR0GfQNFqqxIHY5NM/2Dx3wqnE&#10;hcTx7lUm//9g5afDEzJdV7zgzIqeRvSZRBO2NYrNozyD8yVlPbsnjAS9ewD5zTML246y1C0iDJ0S&#10;NTWVx/zst4LoeCplu+Ej1IQu9gGSUscG+whIGrAj1S7m+ZQmdCKzWJ4Ho46ByRQs5gsKyhhd5MV1&#10;imeifAFx6MN7BT2LRsWRKKRHxOHBh9iUKF9SEgkwur7XxiQH293WIDuIuCPFbLVaJB7E9TLN2Jhs&#10;IZaNiPEmsY0ER6F2UJ+ILMK4aPQxyOgAf3A20JJV3H/fC1ScmQ+WBJutlldXtJXJya9nyxlneBnZ&#10;XUaElQRV8cDZaG7DuMl7h7rt6KU8kbZwSyI3OhGPAxi7OjdLi5T0OC993NRLP2X9+pq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8Pu1zZAAAACQEAAA8AAAAAAAAAAQAgAAAAIgAAAGRycy9kb3du&#10;cmV2LnhtbFBLAQIUABQAAAAIAIdO4kBrb4fl/gEAAOIDAAAOAAAAAAAAAAEAIAAAACgBAABkcnMv&#10;ZTJvRG9jLnhtbFBLBQYAAAAABgAGAFkBAACYBQAAAAA=&#10;">
                <v:fill on="t" focussize="0,0"/>
                <v:stroke on="f"/>
                <v:imagedata o:title=""/>
                <o:lock v:ext="edit" aspectratio="f"/>
                <v:textbox inset="3.05070866141732pt,1.52543307086614pt,3.05070866141732pt,1.52543307086614pt"/>
              </v:rect>
            </v:group>
          </w:pict>
        </mc:Fallback>
      </mc:AlternateContent>
    </w:r>
    <w:r>
      <w:rPr>
        <w:rFonts w:ascii="微软雅黑" w:hAnsi="微软雅黑" w:eastAsia="微软雅黑"/>
        <w:sz w:val="13"/>
        <w:szCs w:val="13"/>
        <w:lang w:val="zh-CN"/>
      </w:rPr>
      <w:fldChar w:fldCharType="begin"/>
    </w:r>
    <w:r>
      <w:rPr>
        <w:rFonts w:ascii="微软雅黑" w:hAnsi="微软雅黑" w:eastAsia="微软雅黑"/>
        <w:sz w:val="13"/>
        <w:szCs w:val="13"/>
        <w:lang w:val="zh-CN"/>
      </w:rPr>
      <w:instrText xml:space="preserve"> </w:instrText>
    </w:r>
    <w:r>
      <w:rPr>
        <w:rFonts w:hint="eastAsia" w:ascii="微软雅黑" w:hAnsi="微软雅黑" w:eastAsia="微软雅黑"/>
        <w:sz w:val="13"/>
        <w:szCs w:val="13"/>
        <w:lang w:val="zh-CN"/>
      </w:rPr>
      <w:instrText xml:space="preserve">TIME \@ "yyyy'年'M'月'd'日'"</w:instrText>
    </w:r>
    <w:r>
      <w:rPr>
        <w:rFonts w:ascii="微软雅黑" w:hAnsi="微软雅黑" w:eastAsia="微软雅黑"/>
        <w:sz w:val="13"/>
        <w:szCs w:val="13"/>
        <w:lang w:val="zh-CN"/>
      </w:rPr>
      <w:instrText xml:space="preserve"> </w:instrText>
    </w:r>
    <w:r>
      <w:rPr>
        <w:rFonts w:ascii="微软雅黑" w:hAnsi="微软雅黑" w:eastAsia="微软雅黑"/>
        <w:sz w:val="13"/>
        <w:szCs w:val="13"/>
        <w:lang w:val="zh-CN"/>
      </w:rPr>
      <w:fldChar w:fldCharType="separate"/>
    </w:r>
    <w:r>
      <w:rPr>
        <w:rFonts w:hint="eastAsia" w:ascii="微软雅黑" w:hAnsi="微软雅黑" w:eastAsia="微软雅黑"/>
        <w:sz w:val="13"/>
        <w:szCs w:val="13"/>
        <w:lang w:val="zh-CN"/>
      </w:rPr>
      <w:t>2020年11月3日</w:t>
    </w:r>
    <w:r>
      <w:rPr>
        <w:rFonts w:ascii="微软雅黑" w:hAnsi="微软雅黑" w:eastAsia="微软雅黑"/>
        <w:sz w:val="13"/>
        <w:szCs w:val="13"/>
        <w:lang w:val="zh-CN"/>
      </w:rPr>
      <w:fldChar w:fldCharType="end"/>
    </w:r>
    <w:r>
      <w:rPr>
        <w:rFonts w:ascii="微软雅黑" w:hAnsi="微软雅黑" w:eastAsia="微软雅黑"/>
        <w:sz w:val="13"/>
        <w:szCs w:val="13"/>
        <w:lang w:eastAsia="zh-CN"/>
      </w:rPr>
      <w:t xml:space="preserve">                                        </w:t>
    </w:r>
    <w:r>
      <w:rPr>
        <w:rFonts w:hint="eastAsia" w:ascii="微软雅黑" w:hAnsi="微软雅黑" w:eastAsia="微软雅黑"/>
        <w:sz w:val="13"/>
        <w:szCs w:val="13"/>
        <w:lang w:eastAsia="zh-CN"/>
      </w:rPr>
      <w:t xml:space="preserve">                                       </w:t>
    </w:r>
    <w:r>
      <w:rPr>
        <w:rFonts w:ascii="微软雅黑" w:hAnsi="微软雅黑" w:eastAsia="微软雅黑"/>
        <w:sz w:val="13"/>
        <w:szCs w:val="13"/>
        <w:lang w:eastAsia="zh-CN"/>
      </w:rPr>
      <w:t xml:space="preserve">      </w:t>
    </w:r>
    <w:r>
      <w:rPr>
        <w:rFonts w:hint="eastAsia" w:ascii="微软雅黑" w:hAnsi="微软雅黑" w:eastAsia="微软雅黑"/>
        <w:sz w:val="13"/>
        <w:szCs w:val="13"/>
        <w:lang w:eastAsia="zh-CN"/>
      </w:rPr>
      <w:t xml:space="preserve"> </w:t>
    </w:r>
    <w:r>
      <w:rPr>
        <w:rFonts w:ascii="微软雅黑" w:hAnsi="微软雅黑" w:eastAsia="微软雅黑"/>
        <w:sz w:val="13"/>
        <w:szCs w:val="13"/>
        <w:lang w:eastAsia="zh-CN"/>
      </w:rPr>
      <w:t xml:space="preserve">                     </w:t>
    </w:r>
    <w:r>
      <w:rPr>
        <w:rFonts w:hint="eastAsia" w:ascii="微软雅黑" w:hAnsi="微软雅黑" w:eastAsia="微软雅黑"/>
        <w:sz w:val="13"/>
        <w:szCs w:val="13"/>
        <w:lang w:eastAsia="zh-CN"/>
      </w:rPr>
      <w:t>第</w:t>
    </w:r>
    <w:r>
      <w:rPr>
        <w:rFonts w:ascii="微软雅黑" w:hAnsi="微软雅黑" w:eastAsia="微软雅黑"/>
        <w:sz w:val="13"/>
        <w:szCs w:val="13"/>
      </w:rPr>
      <w:fldChar w:fldCharType="begin"/>
    </w:r>
    <w:r>
      <w:rPr>
        <w:rFonts w:ascii="微软雅黑" w:hAnsi="微软雅黑" w:eastAsia="微软雅黑"/>
        <w:sz w:val="13"/>
        <w:szCs w:val="13"/>
        <w:lang w:eastAsia="zh-CN"/>
      </w:rPr>
      <w:instrText xml:space="preserve">page</w:instrText>
    </w:r>
    <w:r>
      <w:rPr>
        <w:rFonts w:ascii="微软雅黑" w:hAnsi="微软雅黑" w:eastAsia="微软雅黑"/>
        <w:sz w:val="13"/>
        <w:szCs w:val="13"/>
      </w:rPr>
      <w:fldChar w:fldCharType="separate"/>
    </w:r>
    <w:r>
      <w:rPr>
        <w:rFonts w:ascii="微软雅黑" w:hAnsi="微软雅黑" w:eastAsia="微软雅黑"/>
        <w:sz w:val="13"/>
        <w:szCs w:val="13"/>
        <w:lang w:eastAsia="zh-CN"/>
      </w:rPr>
      <w:t>8</w:t>
    </w:r>
    <w:r>
      <w:rPr>
        <w:rFonts w:ascii="微软雅黑" w:hAnsi="微软雅黑" w:eastAsia="微软雅黑"/>
        <w:sz w:val="13"/>
        <w:szCs w:val="13"/>
      </w:rPr>
      <w:fldChar w:fldCharType="end"/>
    </w:r>
    <w:r>
      <w:rPr>
        <w:rFonts w:hint="eastAsia" w:ascii="微软雅黑" w:hAnsi="微软雅黑" w:eastAsia="微软雅黑"/>
        <w:sz w:val="13"/>
        <w:szCs w:val="13"/>
        <w:lang w:eastAsia="zh-CN"/>
      </w:rPr>
      <w:t>页 共</w:t>
    </w:r>
    <w:r>
      <w:rPr>
        <w:rFonts w:ascii="微软雅黑" w:hAnsi="微软雅黑" w:eastAsia="微软雅黑"/>
        <w:sz w:val="13"/>
        <w:szCs w:val="13"/>
      </w:rPr>
      <w:fldChar w:fldCharType="begin"/>
    </w:r>
    <w:r>
      <w:rPr>
        <w:rFonts w:ascii="微软雅黑" w:hAnsi="微软雅黑" w:eastAsia="微软雅黑"/>
        <w:sz w:val="13"/>
        <w:szCs w:val="13"/>
        <w:lang w:eastAsia="zh-CN"/>
      </w:rPr>
      <w:instrText xml:space="preserve"> NUMPAGES  </w:instrText>
    </w:r>
    <w:r>
      <w:rPr>
        <w:rFonts w:ascii="微软雅黑" w:hAnsi="微软雅黑" w:eastAsia="微软雅黑"/>
        <w:sz w:val="13"/>
        <w:szCs w:val="13"/>
      </w:rPr>
      <w:fldChar w:fldCharType="separate"/>
    </w:r>
    <w:r>
      <w:rPr>
        <w:rFonts w:ascii="微软雅黑" w:hAnsi="微软雅黑" w:eastAsia="微软雅黑"/>
        <w:sz w:val="13"/>
        <w:szCs w:val="13"/>
        <w:lang w:eastAsia="zh-CN"/>
      </w:rPr>
      <w:t>9</w:t>
    </w:r>
    <w:r>
      <w:rPr>
        <w:rFonts w:ascii="微软雅黑" w:hAnsi="微软雅黑" w:eastAsia="微软雅黑"/>
        <w:sz w:val="13"/>
        <w:szCs w:val="13"/>
      </w:rPr>
      <w:fldChar w:fldCharType="end"/>
    </w:r>
    <w:r>
      <w:rPr>
        <w:rFonts w:hint="eastAsia" w:ascii="微软雅黑" w:hAnsi="微软雅黑" w:eastAsia="微软雅黑"/>
        <w:sz w:val="13"/>
        <w:szCs w:val="13"/>
        <w:lang w:eastAsia="zh-CN"/>
      </w:rPr>
      <w:t>页</w:t>
    </w:r>
    <w:r>
      <w:rPr>
        <w:rFonts w:ascii="微软雅黑" w:hAnsi="微软雅黑" w:eastAsia="微软雅黑"/>
        <w:sz w:val="13"/>
        <w:szCs w:val="13"/>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95"/>
        <w:tab w:val="right" w:pos="8306"/>
      </w:tabs>
      <w:rPr>
        <w:rStyle w:val="10"/>
        <w:rFonts w:ascii="微软雅黑" w:hAnsi="微软雅黑" w:eastAsia="微软雅黑"/>
        <w:b w:val="0"/>
        <w:u w:val="single"/>
      </w:rPr>
    </w:pPr>
    <w:r>
      <w:rPr>
        <w:rFonts w:hint="eastAsia"/>
      </w:rPr>
      <w:drawing>
        <wp:anchor distT="0" distB="0" distL="114300" distR="114300" simplePos="0" relativeHeight="251986944" behindDoc="0" locked="0" layoutInCell="1" allowOverlap="1">
          <wp:simplePos x="0" y="0"/>
          <wp:positionH relativeFrom="column">
            <wp:posOffset>5137785</wp:posOffset>
          </wp:positionH>
          <wp:positionV relativeFrom="paragraph">
            <wp:posOffset>205740</wp:posOffset>
          </wp:positionV>
          <wp:extent cx="1318260" cy="331470"/>
          <wp:effectExtent l="0" t="0" r="7620" b="3810"/>
          <wp:wrapNone/>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
                  <pic:cNvPicPr>
                    <a:picLocks noChangeAspect="1"/>
                  </pic:cNvPicPr>
                </pic:nvPicPr>
                <pic:blipFill>
                  <a:blip r:embed="rId1"/>
                  <a:stretch>
                    <a:fillRect/>
                  </a:stretch>
                </pic:blipFill>
                <pic:spPr>
                  <a:xfrm>
                    <a:off x="0" y="0"/>
                    <a:ext cx="1318260" cy="331470"/>
                  </a:xfrm>
                  <a:prstGeom prst="rect">
                    <a:avLst/>
                  </a:prstGeom>
                </pic:spPr>
              </pic:pic>
            </a:graphicData>
          </a:graphic>
        </wp:anchor>
      </w:drawing>
    </w:r>
  </w:p>
  <w:p>
    <w:pPr>
      <w:tabs>
        <w:tab w:val="left" w:pos="8180"/>
        <w:tab w:val="right" w:pos="8306"/>
      </w:tabs>
      <w:rPr>
        <w:rStyle w:val="10"/>
        <w:rFonts w:ascii="微软雅黑" w:hAnsi="微软雅黑" w:eastAsia="微软雅黑"/>
        <w:b w:val="0"/>
        <w:u w:val="single"/>
      </w:rPr>
    </w:pPr>
    <w:r>
      <w:rPr>
        <w:rStyle w:val="10"/>
        <w:rFonts w:ascii="微软雅黑" w:hAnsi="微软雅黑" w:eastAsia="微软雅黑"/>
        <w:b w:val="0"/>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95"/>
        <w:tab w:val="right" w:pos="8306"/>
      </w:tabs>
      <w:rPr>
        <w:rStyle w:val="10"/>
        <w:rFonts w:ascii="微软雅黑" w:hAnsi="微软雅黑" w:eastAsia="微软雅黑"/>
        <w:b w:val="0"/>
        <w:u w:val="single"/>
      </w:rPr>
    </w:pPr>
    <w:r>
      <w:rPr>
        <w:rFonts w:hint="eastAsia"/>
      </w:rPr>
      <w:drawing>
        <wp:anchor distT="0" distB="0" distL="114300" distR="114300" simplePos="0" relativeHeight="251822080" behindDoc="0" locked="0" layoutInCell="1" allowOverlap="1">
          <wp:simplePos x="0" y="0"/>
          <wp:positionH relativeFrom="column">
            <wp:posOffset>5137785</wp:posOffset>
          </wp:positionH>
          <wp:positionV relativeFrom="paragraph">
            <wp:posOffset>274320</wp:posOffset>
          </wp:positionV>
          <wp:extent cx="1318260" cy="331470"/>
          <wp:effectExtent l="0" t="0" r="7620" b="381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318260" cy="331470"/>
                  </a:xfrm>
                  <a:prstGeom prst="rect">
                    <a:avLst/>
                  </a:prstGeom>
                </pic:spPr>
              </pic:pic>
            </a:graphicData>
          </a:graphic>
        </wp:anchor>
      </w:drawing>
    </w:r>
  </w:p>
  <w:p>
    <w:pPr>
      <w:tabs>
        <w:tab w:val="left" w:pos="8180"/>
        <w:tab w:val="right" w:pos="8306"/>
      </w:tabs>
      <w:rPr>
        <w:rStyle w:val="10"/>
        <w:rFonts w:ascii="微软雅黑" w:hAnsi="微软雅黑" w:eastAsia="微软雅黑"/>
        <w:b w:val="0"/>
        <w:u w:val="single"/>
      </w:rPr>
    </w:pPr>
    <w:r>
      <w:rPr>
        <w:rStyle w:val="10"/>
        <w:rFonts w:ascii="微软雅黑" w:hAnsi="微软雅黑" w:eastAsia="微软雅黑"/>
        <w:b w:val="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31C"/>
    <w:multiLevelType w:val="multilevel"/>
    <w:tmpl w:val="1FD563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9A3E6B"/>
    <w:multiLevelType w:val="multilevel"/>
    <w:tmpl w:val="219A3E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5A4E76"/>
    <w:multiLevelType w:val="multilevel"/>
    <w:tmpl w:val="365A4E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2660E0"/>
    <w:multiLevelType w:val="multilevel"/>
    <w:tmpl w:val="422660E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4507778"/>
    <w:multiLevelType w:val="multilevel"/>
    <w:tmpl w:val="445077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6E1EFD"/>
    <w:multiLevelType w:val="multilevel"/>
    <w:tmpl w:val="5C6E1EF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05636A"/>
    <w:multiLevelType w:val="multilevel"/>
    <w:tmpl w:val="640563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3B23BD"/>
    <w:multiLevelType w:val="multilevel"/>
    <w:tmpl w:val="6A3B23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AE109AB"/>
    <w:multiLevelType w:val="multilevel"/>
    <w:tmpl w:val="6AE109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F073497"/>
    <w:multiLevelType w:val="multilevel"/>
    <w:tmpl w:val="6F07349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C732212"/>
    <w:multiLevelType w:val="multilevel"/>
    <w:tmpl w:val="7C7322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8"/>
  </w:num>
  <w:num w:numId="4">
    <w:abstractNumId w:val="5"/>
  </w:num>
  <w:num w:numId="5">
    <w:abstractNumId w:val="6"/>
  </w:num>
  <w:num w:numId="6">
    <w:abstractNumId w:val="10"/>
  </w:num>
  <w:num w:numId="7">
    <w:abstractNumId w:val="7"/>
  </w:num>
  <w:num w:numId="8">
    <w:abstractNumId w:val="3"/>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BA"/>
    <w:rsid w:val="0001267E"/>
    <w:rsid w:val="000132AF"/>
    <w:rsid w:val="000919FA"/>
    <w:rsid w:val="000F247B"/>
    <w:rsid w:val="001177A8"/>
    <w:rsid w:val="00222A1E"/>
    <w:rsid w:val="00312C24"/>
    <w:rsid w:val="00361FEB"/>
    <w:rsid w:val="004C47C7"/>
    <w:rsid w:val="0050141D"/>
    <w:rsid w:val="005351CF"/>
    <w:rsid w:val="005B6D04"/>
    <w:rsid w:val="005F73D2"/>
    <w:rsid w:val="00605047"/>
    <w:rsid w:val="006237BD"/>
    <w:rsid w:val="0062499B"/>
    <w:rsid w:val="006B6670"/>
    <w:rsid w:val="007C0E24"/>
    <w:rsid w:val="00831D26"/>
    <w:rsid w:val="00953A35"/>
    <w:rsid w:val="00960BC2"/>
    <w:rsid w:val="0098242B"/>
    <w:rsid w:val="009D0A76"/>
    <w:rsid w:val="00A167B9"/>
    <w:rsid w:val="00A804D4"/>
    <w:rsid w:val="00A91ABA"/>
    <w:rsid w:val="00AB551C"/>
    <w:rsid w:val="00AE7AC0"/>
    <w:rsid w:val="00B93D38"/>
    <w:rsid w:val="00C41CAE"/>
    <w:rsid w:val="00CC2D26"/>
    <w:rsid w:val="00F93A9E"/>
    <w:rsid w:val="00FA6A57"/>
    <w:rsid w:val="0CB92514"/>
    <w:rsid w:val="33135E34"/>
    <w:rsid w:val="67C60B17"/>
    <w:rsid w:val="7292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pPr>
    <w:rPr>
      <w:rFonts w:ascii="Times New Roman" w:hAnsi="Times New Roman" w:eastAsia="宋体" w:cs="Times New Roman"/>
      <w:sz w:val="22"/>
      <w:szCs w:val="24"/>
      <w:lang w:val="en-US" w:eastAsia="en-CA"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22"/>
    <w:uiPriority w:val="0"/>
    <w:pPr>
      <w:widowControl w:val="0"/>
      <w:spacing w:after="0" w:line="360" w:lineRule="auto"/>
    </w:pPr>
    <w:rPr>
      <w:rFonts w:hint="eastAsia" w:ascii="华文中宋" w:hAnsi="华文中宋" w:eastAsia="华文中宋"/>
      <w:kern w:val="2"/>
      <w:sz w:val="24"/>
      <w:szCs w:val="20"/>
      <w:lang w:eastAsia="zh-CN"/>
    </w:rPr>
  </w:style>
  <w:style w:type="paragraph" w:styleId="3">
    <w:name w:val="Balloon Text"/>
    <w:basedOn w:val="1"/>
    <w:link w:val="24"/>
    <w:semiHidden/>
    <w:unhideWhenUsed/>
    <w:uiPriority w:val="99"/>
    <w:pPr>
      <w:spacing w:after="0"/>
    </w:pPr>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pPr>
      <w:widowControl w:val="0"/>
      <w:tabs>
        <w:tab w:val="right" w:leader="dot" w:pos="9060"/>
      </w:tabs>
      <w:spacing w:after="0" w:line="360" w:lineRule="auto"/>
      <w:jc w:val="center"/>
    </w:pPr>
    <w:rPr>
      <w:rFonts w:ascii="黑体" w:hAnsi="黑体" w:eastAsia="黑体"/>
      <w:b/>
      <w:bCs/>
      <w:caps/>
      <w:kern w:val="2"/>
      <w:sz w:val="40"/>
      <w:szCs w:val="20"/>
      <w:lang w:eastAsia="zh-CN"/>
    </w:rPr>
  </w:style>
  <w:style w:type="paragraph" w:styleId="7">
    <w:name w:val="Normal (Web)"/>
    <w:basedOn w:val="1"/>
    <w:semiHidden/>
    <w:unhideWhenUsed/>
    <w:qFormat/>
    <w:uiPriority w:val="99"/>
    <w:pPr>
      <w:spacing w:before="100" w:beforeAutospacing="1" w:after="100" w:afterAutospacing="1"/>
    </w:pPr>
    <w:rPr>
      <w:rFonts w:ascii="宋体" w:hAnsi="宋体" w:cs="宋体"/>
      <w:sz w:val="24"/>
    </w:r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styleId="14">
    <w:name w:val="Placeholder Text"/>
    <w:basedOn w:val="9"/>
    <w:semiHidden/>
    <w:uiPriority w:val="99"/>
    <w:rPr>
      <w:color w:val="808080"/>
    </w:rPr>
  </w:style>
  <w:style w:type="paragraph" w:customStyle="1" w:styleId="15">
    <w:name w:val="Cap_Normal"/>
    <w:uiPriority w:val="0"/>
    <w:pPr>
      <w:spacing w:after="160"/>
    </w:pPr>
    <w:rPr>
      <w:rFonts w:ascii="Times New Roman" w:hAnsi="Times New Roman" w:eastAsia="宋体" w:cs="Times New Roman"/>
      <w:sz w:val="22"/>
      <w:szCs w:val="24"/>
      <w:lang w:val="en-US" w:eastAsia="en-CA" w:bidi="ar-SA"/>
    </w:rPr>
  </w:style>
  <w:style w:type="paragraph" w:customStyle="1" w:styleId="16">
    <w:name w:val="Cap_Heading_4"/>
    <w:next w:val="15"/>
    <w:uiPriority w:val="0"/>
    <w:pPr>
      <w:keepNext/>
      <w:spacing w:before="180" w:after="120"/>
    </w:pPr>
    <w:rPr>
      <w:rFonts w:ascii="Arial Bold" w:hAnsi="Arial Bold" w:eastAsia="宋体" w:cs="Times New Roman"/>
      <w:b/>
      <w:bCs/>
      <w:color w:val="7E6D59"/>
      <w:sz w:val="24"/>
      <w:szCs w:val="22"/>
      <w:lang w:val="fr-CA" w:eastAsia="en-CA" w:bidi="ar-SA"/>
    </w:rPr>
  </w:style>
  <w:style w:type="paragraph" w:customStyle="1" w:styleId="17">
    <w:name w:val="Cap_Header"/>
    <w:next w:val="15"/>
    <w:qFormat/>
    <w:uiPriority w:val="0"/>
    <w:pPr>
      <w:keepNext/>
      <w:spacing w:before="240" w:after="120"/>
      <w:jc w:val="center"/>
    </w:pPr>
    <w:rPr>
      <w:rFonts w:ascii="Arial Bold" w:hAnsi="Arial Bold" w:eastAsia="宋体" w:cs="Times New Roman"/>
      <w:b/>
      <w:smallCaps/>
      <w:color w:val="086A74"/>
      <w:sz w:val="36"/>
      <w:szCs w:val="36"/>
      <w:lang w:val="en-US" w:eastAsia="en-CA" w:bidi="ar-SA"/>
    </w:rPr>
  </w:style>
  <w:style w:type="paragraph" w:customStyle="1" w:styleId="18">
    <w:name w:val="Table Body"/>
    <w:uiPriority w:val="0"/>
    <w:pPr>
      <w:spacing w:after="40"/>
    </w:pPr>
    <w:rPr>
      <w:rFonts w:ascii="Arial" w:hAnsi="Arial" w:eastAsia="宋体" w:cs="Arial"/>
      <w:sz w:val="18"/>
      <w:szCs w:val="16"/>
      <w:lang w:val="en-US" w:eastAsia="zh-CN" w:bidi="ar-SA"/>
    </w:rPr>
  </w:style>
  <w:style w:type="paragraph" w:customStyle="1" w:styleId="19">
    <w:name w:val="Table Heading 1 White"/>
    <w:qFormat/>
    <w:uiPriority w:val="0"/>
    <w:pPr>
      <w:keepNext/>
      <w:keepLines/>
      <w:overflowPunct w:val="0"/>
      <w:autoSpaceDE w:val="0"/>
      <w:autoSpaceDN w:val="0"/>
      <w:adjustRightInd w:val="0"/>
      <w:jc w:val="center"/>
      <w:textAlignment w:val="baseline"/>
    </w:pPr>
    <w:rPr>
      <w:rFonts w:ascii="Arial Bold" w:hAnsi="Arial Bold" w:eastAsia="宋体" w:cs="Arial"/>
      <w:b/>
      <w:spacing w:val="10"/>
      <w:sz w:val="18"/>
      <w:szCs w:val="24"/>
      <w:lang w:val="en-US" w:eastAsia="zh-CN" w:bidi="ar-SA"/>
    </w:rPr>
  </w:style>
  <w:style w:type="paragraph" w:customStyle="1" w:styleId="20">
    <w:name w:val="Table Heading 2 White"/>
    <w:qFormat/>
    <w:uiPriority w:val="0"/>
    <w:pPr>
      <w:jc w:val="both"/>
    </w:pPr>
    <w:rPr>
      <w:rFonts w:ascii="Arial Bold" w:hAnsi="Arial Bold" w:eastAsia="Arial Unicode MS" w:cs="Arial"/>
      <w:b/>
      <w:sz w:val="18"/>
      <w:szCs w:val="18"/>
      <w:lang w:val="en-US" w:eastAsia="en-US" w:bidi="ar-SA"/>
    </w:rPr>
  </w:style>
  <w:style w:type="paragraph" w:styleId="21">
    <w:name w:val="List Paragraph"/>
    <w:basedOn w:val="1"/>
    <w:qFormat/>
    <w:uiPriority w:val="34"/>
    <w:pPr>
      <w:spacing w:after="0"/>
      <w:ind w:firstLine="420"/>
      <w:jc w:val="both"/>
    </w:pPr>
    <w:rPr>
      <w:rFonts w:ascii="Calibri" w:hAnsi="Calibri" w:cs="Calibri"/>
      <w:sz w:val="21"/>
      <w:szCs w:val="21"/>
      <w:lang w:eastAsia="zh-CN"/>
    </w:rPr>
  </w:style>
  <w:style w:type="character" w:customStyle="1" w:styleId="22">
    <w:name w:val="正文文本 Char"/>
    <w:basedOn w:val="9"/>
    <w:link w:val="2"/>
    <w:uiPriority w:val="0"/>
    <w:rPr>
      <w:rFonts w:ascii="华文中宋" w:hAnsi="华文中宋" w:eastAsia="华文中宋" w:cs="Times New Roman"/>
      <w:kern w:val="2"/>
      <w:sz w:val="24"/>
    </w:rPr>
  </w:style>
  <w:style w:type="paragraph" w:customStyle="1" w:styleId="23">
    <w:name w:val="样式 首行缩进:  2 字符"/>
    <w:basedOn w:val="1"/>
    <w:uiPriority w:val="0"/>
    <w:pPr>
      <w:widowControl w:val="0"/>
      <w:spacing w:after="0" w:line="400" w:lineRule="exact"/>
      <w:ind w:firstLine="200" w:firstLineChars="200"/>
      <w:jc w:val="both"/>
    </w:pPr>
    <w:rPr>
      <w:kern w:val="2"/>
      <w:sz w:val="24"/>
      <w:szCs w:val="20"/>
      <w:lang w:eastAsia="zh-CN"/>
    </w:rPr>
  </w:style>
  <w:style w:type="character" w:customStyle="1" w:styleId="24">
    <w:name w:val="批注框文本 Char"/>
    <w:basedOn w:val="9"/>
    <w:link w:val="3"/>
    <w:semiHidden/>
    <w:uiPriority w:val="99"/>
    <w:rPr>
      <w:rFonts w:ascii="Times New Roman" w:hAnsi="Times New Roman" w:eastAsia="宋体" w:cs="Times New Roman"/>
      <w:sz w:val="18"/>
      <w:szCs w:val="18"/>
      <w:lang w:eastAsia="en-CA"/>
    </w:rPr>
  </w:style>
  <w:style w:type="paragraph" w:customStyle="1" w:styleId="25">
    <w:name w:val="分类号"/>
    <w:basedOn w:val="1"/>
    <w:qFormat/>
    <w:uiPriority w:val="0"/>
    <w:pPr>
      <w:widowControl w:val="0"/>
      <w:spacing w:after="0"/>
      <w:jc w:val="both"/>
    </w:pPr>
    <w:rPr>
      <w:rFonts w:ascii="仿宋_GB2312" w:eastAsia="仿宋_GB2312"/>
      <w:kern w:val="2"/>
      <w:sz w:val="28"/>
      <w:szCs w:val="28"/>
      <w:lang w:eastAsia="zh-CN"/>
    </w:rPr>
  </w:style>
  <w:style w:type="paragraph" w:customStyle="1" w:styleId="26">
    <w:name w:val="硕士学位论文"/>
    <w:basedOn w:val="1"/>
    <w:qFormat/>
    <w:uiPriority w:val="0"/>
    <w:pPr>
      <w:widowControl w:val="0"/>
      <w:spacing w:before="240" w:after="0"/>
      <w:jc w:val="center"/>
    </w:pPr>
    <w:rPr>
      <w:kern w:val="2"/>
      <w:sz w:val="44"/>
      <w:szCs w:val="44"/>
      <w:lang w:eastAsia="zh-CN"/>
    </w:rPr>
  </w:style>
  <w:style w:type="paragraph" w:customStyle="1" w:styleId="27">
    <w:name w:val="论文标题"/>
    <w:basedOn w:val="1"/>
    <w:qFormat/>
    <w:uiPriority w:val="0"/>
    <w:pPr>
      <w:widowControl w:val="0"/>
      <w:spacing w:after="0"/>
      <w:jc w:val="center"/>
    </w:pPr>
    <w:rPr>
      <w:rFonts w:eastAsia="楷体_GB2312"/>
      <w:b/>
      <w:kern w:val="36"/>
      <w:sz w:val="52"/>
      <w:szCs w:val="52"/>
      <w:lang w:eastAsia="zh-CN"/>
    </w:rPr>
  </w:style>
  <w:style w:type="paragraph" w:customStyle="1" w:styleId="28">
    <w:name w:val="研究生姓名"/>
    <w:basedOn w:val="1"/>
    <w:qFormat/>
    <w:uiPriority w:val="0"/>
    <w:pPr>
      <w:widowControl w:val="0"/>
      <w:spacing w:after="0"/>
      <w:ind w:firstLine="700" w:firstLineChars="700"/>
      <w:jc w:val="both"/>
    </w:pPr>
    <w:rPr>
      <w:kern w:val="2"/>
      <w:sz w:val="28"/>
      <w:szCs w:val="28"/>
      <w:lang w:eastAsia="zh-CN"/>
    </w:rPr>
  </w:style>
  <w:style w:type="paragraph" w:customStyle="1" w:styleId="29">
    <w:name w:val="封面日期"/>
    <w:basedOn w:val="1"/>
    <w:qFormat/>
    <w:uiPriority w:val="0"/>
    <w:pPr>
      <w:widowControl w:val="0"/>
      <w:spacing w:after="0"/>
      <w:jc w:val="center"/>
    </w:pPr>
    <w:rPr>
      <w:rFonts w:ascii="黑体" w:eastAsia="黑体"/>
      <w:kern w:val="2"/>
      <w:sz w:val="32"/>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6032;&#21326;&#19977;&#38598;&#22242;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sectNamePr val="lengthwise1"/>
      <sectRole val="1"/>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2016-05-04T00:00:00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70234-C080-42A2-8E53-5ED776FCE3A1}">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新华三集团WORD模板.dotx</Template>
  <Pages>9</Pages>
  <Words>961</Words>
  <Characters>5479</Characters>
  <Lines>45</Lines>
  <Paragraphs>12</Paragraphs>
  <TotalTime>2</TotalTime>
  <ScaleCrop>false</ScaleCrop>
  <LinksUpToDate>false</LinksUpToDate>
  <CharactersWithSpaces>6428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2019-11-29T02:18:00Z</dcterms:created>
  <dc:creator>daixiaoqian</dc:creator>
  <cp:lastModifiedBy>花儿...</cp:lastModifiedBy>
  <cp:lastPrinted>2020-06-04T07:14:00Z</cp:lastPrinted>
  <dcterms:modified xsi:type="dcterms:W3CDTF">2020-11-03T03:02:07Z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